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_rels/document.xml.rels" ContentType="application/vnd.openxmlformats-package.relationships+xml"/>
  <Override PartName="/word/document.xml" ContentType="application/vnd.openxmlformats-officedocument.wordprocessingml.document.main+xml"/>
  <Override PartName="/word/header1.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lineRule="auto" w:line="252" w:before="0" w:after="0"/>
        <w:jc w:val="center"/>
        <w:rPr>
          <w:rFonts w:ascii="Times New Roman" w:hAnsi="Times New Roman"/>
          <w:b/>
        </w:rPr>
      </w:pPr>
      <w:bookmarkStart w:id="0" w:name="_GoBack"/>
      <w:bookmarkEnd w:id="0"/>
      <w:r>
        <w:rPr>
          <w:rFonts w:ascii="Times New Roman" w:hAnsi="Times New Roman"/>
          <w:b/>
        </w:rPr>
        <w:t>ГОСУДАРСТВЕННЫЙ КОНТРАКТ № 1</w:t>
      </w:r>
    </w:p>
    <w:p>
      <w:pPr>
        <w:pStyle w:val="Normal"/>
        <w:widowControl w:val="false"/>
        <w:spacing w:lineRule="auto" w:line="252" w:before="0" w:after="0"/>
        <w:jc w:val="center"/>
        <w:rPr>
          <w:rFonts w:ascii="Times New Roman" w:hAnsi="Times New Roman"/>
          <w:b/>
        </w:rPr>
      </w:pPr>
      <w:r>
        <w:rPr>
          <w:rFonts w:ascii="Times New Roman" w:hAnsi="Times New Roman"/>
          <w:b/>
        </w:rPr>
        <w:t xml:space="preserve">на оказание государственным и муниципальным образовательным организациям, реализующим образовательные программы общего образования и среднего профессионального образования (с учетом потребностей пользователей), услуг по предоставлению с использованием единой сети передачи данных доступа к государственным, муниципальным, иным информационным системам и к информационно-телекоммуникационной сети «Интернет» (далее – сеть «Интернет»); по передаче данных при осуществлении доступа к государственным, муниципальным, иным информационным системам и к сети «Интернет»; по защите данных, обрабатываемых и передаваемых при осуществлении доступа к государственным, муниципальным, иным информационным системам и к сети «Интернет»; по обеспечению ограничения доступа к информации, распространение которой </w:t>
        <w:br/>
        <w:t xml:space="preserve">в Российской Федерации запрещено, и к информации, причиняющей вред здоровью </w:t>
        <w:br/>
        <w:t>и (или) развитию детей, содержащейся в сети «Интернет»; по мониторингу и обеспечению безопасности связи при предоставлении доступа к государственным, муниципальным, иным информационным системам и к сети «Интернет»; по организации подключения к единой сети передачи данных, по передаче данных при осуществлении доступа к этой сети</w:t>
      </w:r>
    </w:p>
    <w:p>
      <w:pPr>
        <w:pStyle w:val="Normal"/>
        <w:widowControl w:val="false"/>
        <w:spacing w:lineRule="auto" w:line="252" w:before="0" w:after="0"/>
        <w:jc w:val="center"/>
        <w:rPr>
          <w:rFonts w:ascii="Times New Roman" w:hAnsi="Times New Roman"/>
          <w:b/>
        </w:rPr>
      </w:pPr>
      <w:r>
        <w:rPr>
          <w:rFonts w:ascii="Times New Roman" w:hAnsi="Times New Roman"/>
          <w:b/>
        </w:rPr>
      </w:r>
    </w:p>
    <w:p>
      <w:pPr>
        <w:pStyle w:val="Normal"/>
        <w:widowControl/>
        <w:spacing w:lineRule="auto" w:line="252" w:before="0" w:after="0"/>
        <w:rPr>
          <w:rFonts w:ascii="Roboto" w:hAnsi="Roboto"/>
          <w:color w:themeColor="text1" w:val="000000"/>
          <w:sz w:val="24"/>
        </w:rPr>
      </w:pPr>
      <w:r>
        <w:rPr>
          <w:rFonts w:ascii="Times New Roman" w:hAnsi="Times New Roman"/>
          <w:i/>
        </w:rPr>
        <w:t xml:space="preserve">               </w:t>
      </w:r>
      <w:r>
        <w:rPr>
          <w:rFonts w:ascii="Times New Roman" w:hAnsi="Times New Roman"/>
          <w:i/>
        </w:rPr>
        <w:t>(Идентификационный код закупки:</w:t>
      </w:r>
      <w:r>
        <w:rPr>
          <w:rFonts w:ascii="Tahoma" w:hAnsi="Tahoma"/>
          <w:color w:val="383838"/>
          <w:sz w:val="18"/>
          <w:shd w:fill="FAFAFA" w:val="clear"/>
        </w:rPr>
        <w:t xml:space="preserve"> </w:t>
      </w:r>
      <w:r>
        <w:rPr>
          <w:rFonts w:ascii="Tahoma" w:hAnsi="Tahoma"/>
          <w:color w:themeColor="text1" w:val="000000"/>
          <w:sz w:val="18"/>
          <w:shd w:fill="FAFAFA" w:val="clear"/>
        </w:rPr>
        <w:t>2</w:t>
      </w:r>
      <w:r>
        <w:rPr>
          <w:rFonts w:ascii="Times New Roman" w:hAnsi="Times New Roman"/>
          <w:color w:themeColor="text1" w:val="000000"/>
          <w:sz w:val="18"/>
          <w:shd w:fill="FAFAFA" w:val="clear"/>
        </w:rPr>
        <w:t>6 28300130069298301001 0001 001 6110 244</w:t>
      </w:r>
    </w:p>
    <w:p>
      <w:pPr>
        <w:pStyle w:val="Normal"/>
        <w:widowControl/>
        <w:spacing w:lineRule="auto" w:line="252" w:before="0" w:after="0"/>
        <w:rPr>
          <w:rFonts w:ascii="Times New Roman" w:hAnsi="Times New Roman"/>
          <w:b/>
          <w:i w:val="false"/>
          <w:i w:val="false"/>
        </w:rPr>
      </w:pPr>
      <w:r>
        <w:rPr>
          <w:rFonts w:ascii="Roboto" w:hAnsi="Roboto"/>
          <w:b/>
          <w:highlight w:val="white"/>
        </w:rPr>
        <w:t xml:space="preserve">         </w:t>
      </w:r>
      <w:r>
        <w:rPr>
          <w:rFonts w:ascii="Times New Roman" w:hAnsi="Times New Roman"/>
          <w:i/>
        </w:rPr>
        <w:t>Идентификационный код закупки в плане-графике</w:t>
      </w:r>
      <w:r>
        <w:rPr>
          <w:rFonts w:ascii="Roboto" w:hAnsi="Roboto"/>
          <w:b w:val="false"/>
          <w:highlight w:val="white"/>
        </w:rPr>
        <w:t>:</w:t>
      </w:r>
      <w:r>
        <w:rPr>
          <w:rFonts w:ascii="Times New Roman" w:hAnsi="Times New Roman"/>
          <w:b w:val="false"/>
          <w:i/>
          <w:highlight w:val="white"/>
        </w:rPr>
        <w:t xml:space="preserve"> </w:t>
      </w:r>
      <w:r>
        <w:rPr>
          <w:rFonts w:ascii="Times New Roman" w:hAnsi="Times New Roman"/>
          <w:i w:val="false"/>
          <w:color w:themeColor="text1" w:val="000000"/>
          <w:sz w:val="18"/>
          <w:shd w:fill="FAFAFA" w:val="clear"/>
        </w:rPr>
        <w:t>262830013006929830100100010006110244</w:t>
      </w:r>
    </w:p>
    <w:p>
      <w:pPr>
        <w:pStyle w:val="Normal"/>
        <w:widowControl/>
        <w:spacing w:lineRule="auto" w:line="252" w:before="0" w:after="0"/>
        <w:ind w:firstLine="567" w:left="0" w:right="0"/>
        <w:jc w:val="center"/>
        <w:rPr>
          <w:rFonts w:ascii="Times New Roman" w:hAnsi="Times New Roman"/>
          <w:i/>
          <w:i/>
          <w:u w:val="single"/>
        </w:rPr>
      </w:pPr>
      <w:r>
        <w:rPr>
          <w:rFonts w:ascii="Times New Roman" w:hAnsi="Times New Roman"/>
          <w:i/>
          <w:u w:val="single"/>
        </w:rPr>
      </w:r>
    </w:p>
    <w:p>
      <w:pPr>
        <w:pStyle w:val="Normal"/>
        <w:widowControl w:val="false"/>
        <w:spacing w:lineRule="auto" w:line="252" w:before="0" w:after="0"/>
        <w:jc w:val="center"/>
        <w:rPr>
          <w:rFonts w:ascii="Times New Roman" w:hAnsi="Times New Roman"/>
        </w:rPr>
      </w:pPr>
      <w:r>
        <w:rPr>
          <w:rFonts w:ascii="Times New Roman" w:hAnsi="Times New Roman"/>
        </w:rPr>
        <w:t xml:space="preserve">г. Нарьян-Мар  </w:t>
        <w:tab/>
        <w:tab/>
        <w:tab/>
        <w:tab/>
        <w:tab/>
        <w:tab/>
        <w:tab/>
        <w:tab/>
        <w:t xml:space="preserve"> «___» ____________ 2026 г.</w:t>
      </w:r>
    </w:p>
    <w:p>
      <w:pPr>
        <w:pStyle w:val="Normal"/>
        <w:widowControl w:val="false"/>
        <w:spacing w:lineRule="auto" w:line="252" w:before="0" w:after="0"/>
        <w:jc w:val="center"/>
        <w:rPr>
          <w:rFonts w:ascii="Times New Roman" w:hAnsi="Times New Roman"/>
        </w:rPr>
      </w:pPr>
      <w:r>
        <w:rPr>
          <w:rFonts w:ascii="Times New Roman" w:hAnsi="Times New Roman"/>
        </w:rPr>
      </w:r>
    </w:p>
    <w:p>
      <w:pPr>
        <w:pStyle w:val="Normal"/>
        <w:widowControl/>
        <w:tabs>
          <w:tab w:val="clear" w:pos="708"/>
          <w:tab w:val="left" w:pos="4402" w:leader="none"/>
        </w:tabs>
        <w:spacing w:lineRule="auto" w:line="252" w:before="0" w:after="0"/>
        <w:ind w:firstLine="709" w:left="0" w:right="0"/>
        <w:jc w:val="both"/>
        <w:rPr>
          <w:rFonts w:ascii="Times New Roman" w:hAnsi="Times New Roman"/>
          <w:color w:val="000000"/>
        </w:rPr>
      </w:pPr>
      <w:r>
        <w:rPr>
          <w:rFonts w:ascii="Times New Roman" w:hAnsi="Times New Roman"/>
          <w:b/>
        </w:rPr>
        <w:t>Департамент образования и спорта Ненецкого автономного округа</w:t>
      </w:r>
      <w:r>
        <w:rPr>
          <w:rFonts w:ascii="Times New Roman" w:hAnsi="Times New Roman"/>
        </w:rPr>
        <w:t xml:space="preserve"> от имени Аппарата Администрации Ненецкого автономного округа, именуемый в дальнейшем </w:t>
      </w:r>
      <w:r>
        <w:rPr>
          <w:rFonts w:ascii="Times New Roman" w:hAnsi="Times New Roman"/>
          <w:b/>
        </w:rPr>
        <w:t>«Заказчик»</w:t>
      </w:r>
      <w:r>
        <w:rPr>
          <w:rFonts w:ascii="Times New Roman" w:hAnsi="Times New Roman"/>
        </w:rPr>
        <w:t>, в лице</w:t>
      </w:r>
      <w:r>
        <w:rPr>
          <w:rFonts w:ascii="Times New Roman" w:hAnsi="Times New Roman"/>
          <w:color w:val="000000"/>
        </w:rPr>
        <w:t xml:space="preserve"> </w:t>
      </w:r>
      <w:r>
        <w:rPr>
          <w:rFonts w:ascii="Times New Roman" w:hAnsi="Times New Roman"/>
        </w:rPr>
        <w:t>Заместителя губернатора Ненецкого автономного округа - руководителя Департамента образования и спорта Ненецкого автономного округа</w:t>
      </w:r>
      <w:r>
        <w:rPr>
          <w:rFonts w:ascii="Times New Roman" w:hAnsi="Times New Roman"/>
          <w:color w:val="000000"/>
          <w:sz w:val="22"/>
        </w:rPr>
        <w:t xml:space="preserve"> Барабаса Андрея Александровича</w:t>
      </w:r>
      <w:r>
        <w:rPr>
          <w:rFonts w:ascii="Times New Roman" w:hAnsi="Times New Roman"/>
        </w:rPr>
        <w:t xml:space="preserve">, действующего на основании </w:t>
      </w:r>
      <w:r>
        <w:rPr>
          <w:rFonts w:ascii="Times New Roman" w:hAnsi="Times New Roman"/>
          <w:sz w:val="24"/>
        </w:rPr>
        <w:t xml:space="preserve">Положения о Департаменте образования и спорта Ненецкого автономного округа от 28.11.2014 № 463-п и </w:t>
      </w:r>
      <w:r>
        <w:rPr>
          <w:rFonts w:ascii="Times New Roman" w:hAnsi="Times New Roman"/>
        </w:rPr>
        <w:t xml:space="preserve">Распоряжения губернатора Ненецкого автономного округа от 23.01.2026 № 26-рг/к с одной стороны и </w:t>
      </w:r>
      <w:r>
        <w:rPr>
          <w:rFonts w:ascii="Times New Roman" w:hAnsi="Times New Roman"/>
          <w:b/>
        </w:rPr>
        <w:t>публичное акционерное общество «Ростелеком»</w:t>
      </w:r>
      <w:r>
        <w:rPr>
          <w:rFonts w:ascii="Times New Roman" w:hAnsi="Times New Roman"/>
        </w:rPr>
        <w:t xml:space="preserve">, именуемое в дальнейшем </w:t>
      </w:r>
      <w:r>
        <w:rPr>
          <w:rFonts w:ascii="Times New Roman" w:hAnsi="Times New Roman"/>
          <w:b/>
        </w:rPr>
        <w:t>«Исполнитель»</w:t>
      </w:r>
      <w:r>
        <w:rPr>
          <w:rFonts w:ascii="Times New Roman" w:hAnsi="Times New Roman"/>
        </w:rPr>
        <w:t>, в лице директора департамента национальных программ Шишкина Кирилла Андреевича, действующего на основании</w:t>
      </w:r>
      <w:r>
        <w:rPr>
          <w:rFonts w:ascii="Times New Roman" w:hAnsi="Times New Roman"/>
          <w:sz w:val="22"/>
        </w:rPr>
        <w:t xml:space="preserve"> </w:t>
      </w:r>
      <w:r>
        <w:rPr>
          <w:rFonts w:ascii="Times New Roman" w:hAnsi="Times New Roman"/>
          <w:color w:val="000000"/>
          <w:sz w:val="22"/>
        </w:rPr>
        <w:t>МЧД № 8dbd94b9-d682-444e-b871-a615a9102a80 от 27.10.2025, с другой стороны, и имеющее лицензии</w:t>
      </w:r>
      <w:r>
        <w:rPr>
          <w:rFonts w:ascii="Times New Roman" w:hAnsi="Times New Roman"/>
          <w:color w:val="000000"/>
        </w:rPr>
        <w:t>:</w:t>
      </w:r>
    </w:p>
    <w:p>
      <w:pPr>
        <w:pStyle w:val="ListParagraph1"/>
        <w:widowControl/>
        <w:numPr>
          <w:ilvl w:val="0"/>
          <w:numId w:val="1"/>
        </w:numPr>
        <w:spacing w:lineRule="auto" w:line="252" w:before="0" w:after="0"/>
        <w:ind w:firstLine="360" w:left="0" w:right="0"/>
        <w:contextualSpacing/>
        <w:jc w:val="both"/>
        <w:rPr>
          <w:rFonts w:ascii="Times New Roman" w:hAnsi="Times New Roman"/>
        </w:rPr>
      </w:pPr>
      <w:r>
        <w:rPr>
          <w:rFonts w:ascii="Times New Roman" w:hAnsi="Times New Roman"/>
        </w:rPr>
        <w:t xml:space="preserve">Л030-00114-77/00078235 от 27 января 2021 г. на оказание услуг связи по передаче данных, </w:t>
        <w:br/>
        <w:t xml:space="preserve">за исключением услуг связи по передаче данных для целей передачи голосовой информации, выданную Федеральной службой по надзору в сфере связи, информационных технологий и массовых коммуникаций (срок лицензии – до 27 января 2026 г.); </w:t>
      </w:r>
    </w:p>
    <w:p>
      <w:pPr>
        <w:pStyle w:val="ListParagraph1"/>
        <w:widowControl/>
        <w:numPr>
          <w:ilvl w:val="0"/>
          <w:numId w:val="2"/>
        </w:numPr>
        <w:spacing w:lineRule="auto" w:line="252" w:before="0" w:after="0"/>
        <w:ind w:firstLine="349" w:left="0" w:right="0"/>
        <w:contextualSpacing/>
        <w:jc w:val="both"/>
        <w:rPr>
          <w:rFonts w:ascii="Times New Roman" w:hAnsi="Times New Roman"/>
        </w:rPr>
      </w:pPr>
      <w:r>
        <w:rPr>
          <w:rFonts w:ascii="Times New Roman" w:hAnsi="Times New Roman"/>
        </w:rPr>
        <w:t>Л030-00114-77/00078631 от 16 февраля 2021 г. на оказание телематических услуг связи, выданную Федеральной службой по надзору в сфере связи, информационных технологий и массовых коммуникаций (срок лицензии – до 16 февраля 2026 г.);</w:t>
      </w:r>
    </w:p>
    <w:p>
      <w:pPr>
        <w:pStyle w:val="ListParagraph1"/>
        <w:widowControl/>
        <w:numPr>
          <w:ilvl w:val="0"/>
          <w:numId w:val="2"/>
        </w:numPr>
        <w:spacing w:lineRule="auto" w:line="252" w:before="0" w:after="0"/>
        <w:ind w:firstLine="349" w:left="0" w:right="0"/>
        <w:contextualSpacing/>
        <w:jc w:val="both"/>
        <w:rPr>
          <w:rFonts w:ascii="Times New Roman" w:hAnsi="Times New Roman"/>
        </w:rPr>
      </w:pPr>
      <w:r>
        <w:rPr>
          <w:rFonts w:ascii="Times New Roman" w:hAnsi="Times New Roman"/>
        </w:rPr>
        <w:t xml:space="preserve">Л051-00105-78/00560548 (78/78/1346/Н/Н) от 29 октября 2021 г. на осуществление разработки, производства, распространения шифровальных (криптографических) средств, информационных систем </w:t>
        <w:br/>
        <w:t xml:space="preserve">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w:t>
        <w:br/>
        <w:t xml:space="preserve">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выданную Управлением Федеральной службы безопасности Российской Федерации </w:t>
        <w:br/>
        <w:t>по городу Санкт-Петербургу и Ленинградской области (срок лицензии – бессрочная);</w:t>
      </w:r>
    </w:p>
    <w:p>
      <w:pPr>
        <w:pStyle w:val="ListParagraph1"/>
        <w:widowControl/>
        <w:numPr>
          <w:ilvl w:val="0"/>
          <w:numId w:val="2"/>
        </w:numPr>
        <w:spacing w:lineRule="auto" w:line="252" w:before="0" w:after="0"/>
        <w:ind w:firstLine="360" w:left="0" w:right="0"/>
        <w:contextualSpacing/>
        <w:jc w:val="both"/>
        <w:rPr>
          <w:rFonts w:ascii="Times New Roman" w:hAnsi="Times New Roman"/>
        </w:rPr>
      </w:pPr>
      <w:r>
        <w:rPr>
          <w:rFonts w:ascii="Times New Roman" w:hAnsi="Times New Roman"/>
        </w:rPr>
        <w:t xml:space="preserve">Л024-00107-00/00580616 от 4 мая 2009 г. (переоформлена 12 ноября 2021 г.) на деятельность </w:t>
        <w:br/>
        <w:t>по технической защите конфиденциальной информации, выданная Федеральной службой по техническому и экспортному контролю (срок лицензии – бессрочная), -</w:t>
      </w:r>
    </w:p>
    <w:p>
      <w:pPr>
        <w:pStyle w:val="ListParagraph1"/>
        <w:widowControl/>
        <w:tabs>
          <w:tab w:val="clear" w:pos="708"/>
          <w:tab w:val="left" w:pos="4402" w:leader="none"/>
        </w:tabs>
        <w:spacing w:lineRule="auto" w:line="252" w:before="0" w:after="0"/>
        <w:ind w:firstLine="284" w:left="0" w:right="0"/>
        <w:contextualSpacing/>
        <w:jc w:val="both"/>
        <w:rPr>
          <w:rFonts w:ascii="Times New Roman" w:hAnsi="Times New Roman"/>
        </w:rPr>
      </w:pPr>
      <w:r>
        <w:rPr>
          <w:rFonts w:ascii="Times New Roman" w:hAnsi="Times New Roman"/>
        </w:rPr>
        <w:t>совместно именуемые «Стороны», а по отдельности «Сторона», на основании пункта 2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распоряжения Президента Российской Федерации от «29» декабря 2025 г. № 519-рп заключили настоящий государственный контракт (далее – Контракт) о нижеследующем.</w:t>
      </w:r>
    </w:p>
    <w:p>
      <w:pPr>
        <w:pStyle w:val="ListParagraph1"/>
        <w:widowControl/>
        <w:tabs>
          <w:tab w:val="clear" w:pos="708"/>
          <w:tab w:val="left" w:pos="4402" w:leader="none"/>
        </w:tabs>
        <w:spacing w:lineRule="auto" w:line="252" w:before="0" w:after="0"/>
        <w:ind w:firstLine="284" w:left="0" w:right="0"/>
        <w:contextualSpacing/>
        <w:jc w:val="both"/>
        <w:rPr>
          <w:rFonts w:ascii="Times New Roman" w:hAnsi="Times New Roman"/>
        </w:rPr>
      </w:pPr>
      <w:r>
        <w:rPr>
          <w:rFonts w:ascii="Times New Roman" w:hAnsi="Times New Roman"/>
        </w:rPr>
      </w:r>
    </w:p>
    <w:p>
      <w:pPr>
        <w:pStyle w:val="ListParagraph1"/>
        <w:keepNext w:val="true"/>
        <w:widowControl w:val="false"/>
        <w:numPr>
          <w:ilvl w:val="0"/>
          <w:numId w:val="3"/>
        </w:numPr>
        <w:spacing w:lineRule="auto" w:line="252" w:before="0" w:after="0"/>
        <w:ind w:firstLine="2897" w:left="1072" w:right="0"/>
        <w:contextualSpacing/>
        <w:rPr>
          <w:rFonts w:ascii="Times New Roman" w:hAnsi="Times New Roman"/>
          <w:b/>
        </w:rPr>
      </w:pPr>
      <w:r>
        <w:rPr>
          <w:rFonts w:ascii="Times New Roman" w:hAnsi="Times New Roman"/>
          <w:b/>
        </w:rPr>
        <w:t>ПРЕДМЕТ КОНТРАКТА</w:t>
      </w:r>
    </w:p>
    <w:p>
      <w:pPr>
        <w:pStyle w:val="ListParagraph1"/>
        <w:widowControl w:val="false"/>
        <w:spacing w:lineRule="auto" w:line="252" w:before="0" w:after="0"/>
        <w:ind w:hanging="0" w:left="3969" w:right="0"/>
        <w:contextualSpacing/>
        <w:rPr>
          <w:rFonts w:ascii="Times New Roman" w:hAnsi="Times New Roman"/>
          <w:b/>
        </w:rPr>
      </w:pPr>
      <w:r>
        <w:rPr>
          <w:rFonts w:ascii="Times New Roman" w:hAnsi="Times New Roman"/>
          <w:b/>
        </w:rPr>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1.1. Исполнитель обязуется оказать государственным и муниципальным образовательным организациям, реализующим образовательные программы общего образования и среднего профессионального образования (с учетом потребностей пользователей), услуги по предоставлению с использованием единой сети передачи данных доступа к государственным, муниципальным, иным информационным системам и к сети «Интернет»; по передаче данных при осуществлении доступа к государственным, муниципальным, иным информационным системам и к сети «Интернет»; по защите данных, обрабатываемых и передаваемых при осуществлении доступа к государственным, муниципальным, иным информационным системам и к сети «Интернет»; по обеспечению ограничения доступа к информации, распространение которой в Российской Федерации запрещено, и к информации, причиняющей вред здоровью и (или) развитию детей, содержащейся в сети «Интернет»; по мониторингу и обеспечению безопасности связи при предоставлении доступа к государственным, муниципальным, иным информационным системам и к сети «Интернет»; по организации подключения к единой сети передачи данных, по передаче данных при осуществлении доступа к этой сети (далее – Услуги), в соответствии с Контрактом и техническим заданием (приложение № 1 к Контракту) (далее – Техническое задание), а Заказчик обязуется принять и оплатить надлежащим образом оказанные Услуги в соответствии с условиями Контракта и в предусмотренные Контрактом сроки. </w:t>
      </w:r>
    </w:p>
    <w:p>
      <w:pPr>
        <w:pStyle w:val="BodyText"/>
        <w:widowControl/>
        <w:spacing w:lineRule="auto" w:line="252" w:before="0" w:after="0"/>
        <w:ind w:firstLine="709" w:left="0" w:right="150"/>
        <w:rPr>
          <w:sz w:val="22"/>
        </w:rPr>
      </w:pPr>
      <w:r>
        <w:rPr>
          <w:sz w:val="22"/>
        </w:rPr>
        <w:t xml:space="preserve">1.2. Срок оказания Услуг: </w:t>
      </w:r>
      <w:r>
        <w:rPr>
          <w:b/>
          <w:sz w:val="22"/>
        </w:rPr>
        <w:t>с момента заключения Контракта по 31 декабря 2026 года включительно.</w:t>
      </w:r>
    </w:p>
    <w:p>
      <w:pPr>
        <w:pStyle w:val="BodyText"/>
        <w:widowControl/>
        <w:spacing w:lineRule="auto" w:line="252" w:before="0" w:after="0"/>
        <w:ind w:firstLine="709" w:left="0" w:right="-1"/>
        <w:rPr>
          <w:sz w:val="22"/>
        </w:rPr>
      </w:pPr>
      <w:r>
        <w:rPr>
          <w:sz w:val="22"/>
        </w:rPr>
        <w:t>Услуги оказываются непрерывно, круглосуточно и ежедневно в соответствии с условиями Технического задания.</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1.3. Место оказания Услуг: по месту нахождения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по месту нахождения Исполнителя.</w:t>
      </w:r>
    </w:p>
    <w:p>
      <w:pPr>
        <w:pStyle w:val="Normal"/>
        <w:widowControl/>
        <w:spacing w:lineRule="auto" w:line="252" w:before="0" w:after="0"/>
        <w:ind w:firstLine="709" w:left="0" w:right="0"/>
        <w:jc w:val="both"/>
        <w:rPr>
          <w:rFonts w:ascii="Times New Roman" w:hAnsi="Times New Roman"/>
        </w:rPr>
      </w:pPr>
      <w:r>
        <w:rPr>
          <w:rFonts w:ascii="Times New Roman" w:hAnsi="Times New Roman"/>
        </w:rPr>
      </w:r>
    </w:p>
    <w:p>
      <w:pPr>
        <w:pStyle w:val="ListParagraph1"/>
        <w:widowControl w:val="false"/>
        <w:numPr>
          <w:ilvl w:val="0"/>
          <w:numId w:val="3"/>
        </w:numPr>
        <w:tabs>
          <w:tab w:val="clear" w:pos="708"/>
          <w:tab w:val="left" w:pos="993" w:leader="none"/>
        </w:tabs>
        <w:spacing w:lineRule="auto" w:line="252" w:before="0" w:after="0"/>
        <w:ind w:hanging="360" w:left="1069" w:right="0"/>
        <w:contextualSpacing/>
        <w:jc w:val="center"/>
        <w:rPr>
          <w:rFonts w:ascii="Times New Roman" w:hAnsi="Times New Roman"/>
          <w:b/>
        </w:rPr>
      </w:pPr>
      <w:r>
        <w:rPr>
          <w:rFonts w:ascii="Times New Roman" w:hAnsi="Times New Roman"/>
          <w:b/>
        </w:rPr>
        <w:t>ЦЕНА КОНТРАКТА И ПОРЯДОК ОПЛАТЫ</w:t>
      </w:r>
    </w:p>
    <w:p>
      <w:pPr>
        <w:pStyle w:val="ListParagraph1"/>
        <w:widowControl w:val="false"/>
        <w:tabs>
          <w:tab w:val="clear" w:pos="708"/>
          <w:tab w:val="left" w:pos="993" w:leader="none"/>
        </w:tabs>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2.1. </w:t>
      </w:r>
      <w:r>
        <w:rPr>
          <w:rFonts w:ascii="Times New Roman" w:hAnsi="Times New Roman"/>
          <w:b/>
          <w:sz w:val="22"/>
        </w:rPr>
        <w:t>Максимальное значение цены Контракта</w:t>
      </w:r>
      <w:r>
        <w:rPr>
          <w:rFonts w:ascii="Times New Roman" w:hAnsi="Times New Roman"/>
          <w:sz w:val="22"/>
        </w:rPr>
        <w:t xml:space="preserve"> составляет 10 490 755,00</w:t>
      </w:r>
      <w:r>
        <w:rPr>
          <w:rFonts w:ascii="Times New Roman" w:hAnsi="Times New Roman"/>
          <w:b/>
          <w:sz w:val="22"/>
        </w:rPr>
        <w:t xml:space="preserve"> </w:t>
      </w:r>
      <w:r>
        <w:rPr>
          <w:rFonts w:ascii="Times New Roman" w:hAnsi="Times New Roman"/>
          <w:sz w:val="22"/>
        </w:rPr>
        <w:t>(Десять миллионов четыреста девяносто тысяч семьсот пятьдесят пять) рублей 00 копеек, в том числе НДС в размере 22%, что составляет 1 891 775,49 (Один миллион восемьсот девяносто одна тысяча семьсот семьдесят пять) рублей 49 копеек (далее – цена Контракта).</w:t>
      </w:r>
    </w:p>
    <w:p>
      <w:pPr>
        <w:pStyle w:val="Normal"/>
        <w:widowControl w:val="false"/>
        <w:spacing w:lineRule="auto" w:line="252" w:before="0" w:after="0"/>
        <w:ind w:firstLine="709" w:left="0" w:right="0"/>
        <w:jc w:val="both"/>
        <w:rPr>
          <w:rFonts w:ascii="Times New Roman" w:hAnsi="Times New Roman"/>
          <w:i/>
          <w:i/>
        </w:rPr>
      </w:pPr>
      <w:r>
        <w:rPr>
          <w:rFonts w:ascii="Times New Roman" w:hAnsi="Times New Roman"/>
        </w:rPr>
        <w:t>Цены единиц Услуг указаны в приложении № 2 к Контракту.</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2.2. Цена Контракта, цены единиц Услуг включают в себя уплату налогов, сборов, других обязательных платежей и всех расходов Исполнителя, связанных с исполнением Контракта. Максимальное значение цены Контракта, цены единиц Услуг могут быть изменены в случаях и порядке, предусмотренном Законом о контрактной системе.</w:t>
      </w:r>
    </w:p>
    <w:p>
      <w:pPr>
        <w:pStyle w:val="Normal"/>
        <w:widowControl w:val="false"/>
        <w:spacing w:lineRule="auto" w:line="252" w:before="0" w:after="0"/>
        <w:ind w:firstLine="709" w:left="0" w:right="0"/>
        <w:jc w:val="both"/>
        <w:rPr>
          <w:rFonts w:ascii="Tahoma" w:hAnsi="Tahoma"/>
          <w:color w:val="383838"/>
          <w:sz w:val="18"/>
          <w:highlight w:val="white"/>
        </w:rPr>
      </w:pPr>
      <w:r>
        <w:rPr>
          <w:rFonts w:ascii="Times New Roman" w:hAnsi="Times New Roman"/>
        </w:rPr>
        <w:t xml:space="preserve">2.3. Расчеты производятся Заказчиком в рублях Российской Федерации. Оплата оказанных Услуг </w:t>
        <w:br/>
        <w:t xml:space="preserve">по Контракту осуществляется Заказчиком за счет средств окружного бюджета Ненецкого автономного округа 2026 года. </w:t>
      </w:r>
      <w:r>
        <w:rPr>
          <w:rFonts w:ascii="Times New Roman" w:hAnsi="Times New Roman"/>
          <w:b/>
        </w:rPr>
        <w:t xml:space="preserve">КБК: </w:t>
      </w:r>
      <w:r>
        <w:rPr>
          <w:rFonts w:ascii="Times New Roman" w:hAnsi="Times New Roman"/>
          <w:b/>
          <w:highlight w:val="white"/>
        </w:rPr>
        <w:t>010 0709 154037У180 244</w:t>
      </w:r>
      <w:r>
        <w:rPr>
          <w:rFonts w:ascii="Times New Roman" w:hAnsi="Times New Roman"/>
        </w:rPr>
        <w:t>.</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2.4. Заказчик перечисляет</w:t>
      </w:r>
      <w:r>
        <w:rPr>
          <w:rFonts w:ascii="Times New Roman" w:hAnsi="Times New Roman"/>
          <w:i/>
        </w:rPr>
        <w:t xml:space="preserve"> </w:t>
      </w:r>
      <w:r>
        <w:rPr>
          <w:rFonts w:ascii="Times New Roman" w:hAnsi="Times New Roman"/>
        </w:rPr>
        <w:t xml:space="preserve">на расчетный счет Исполнителя </w:t>
      </w:r>
      <w:r>
        <w:rPr>
          <w:rFonts w:ascii="Times New Roman" w:hAnsi="Times New Roman"/>
          <w:b/>
        </w:rPr>
        <w:t>аванс</w:t>
      </w:r>
      <w:r>
        <w:rPr>
          <w:rFonts w:ascii="Times New Roman" w:hAnsi="Times New Roman"/>
        </w:rPr>
        <w:t xml:space="preserve"> в размере 9,09 процентов </w:t>
        <w:br/>
        <w:t>цены Контракта в счет оплаты  оказанных Услуг за декабрь 2026 , что составляет 953 705,00</w:t>
      </w:r>
      <w:r>
        <w:rPr>
          <w:rFonts w:ascii="Times New Roman" w:hAnsi="Times New Roman"/>
          <w:b/>
        </w:rPr>
        <w:t xml:space="preserve"> </w:t>
      </w:r>
      <w:r>
        <w:rPr>
          <w:rFonts w:ascii="Times New Roman" w:hAnsi="Times New Roman"/>
        </w:rPr>
        <w:t>(Девятьсот пятьдесят три тысячи семьсот пять) рублей 00 копеек, в том числе НДС в размере 22%, что составляет 171 979,59 (Сто семьдесят одна тысяча девятьсот семьдесят девять) рублей 59 копеек, в течение 7 (Семи) рабочих дней с даты выставления Исполнителем счета на оплату аванса. Счет на оплату аванса выставляется Исполнителем не позднее 10 декабря 2026 года.</w:t>
      </w:r>
    </w:p>
    <w:p>
      <w:pPr>
        <w:pStyle w:val="Normal"/>
        <w:widowControl w:val="false"/>
        <w:spacing w:lineRule="auto" w:line="252" w:before="0" w:after="0"/>
        <w:ind w:firstLine="709" w:left="0" w:right="0"/>
        <w:jc w:val="both"/>
        <w:rPr>
          <w:rFonts w:ascii="Times New Roman" w:hAnsi="Times New Roman"/>
          <w:highlight w:val="yellow"/>
        </w:rPr>
      </w:pPr>
      <w:r>
        <w:rPr>
          <w:rFonts w:ascii="Times New Roman" w:hAnsi="Times New Roman"/>
        </w:rPr>
        <w:t>2.5. Оплата оказанных Услуг осуществляется по цене единицы Услуги исходя из объема фактически оказанных Услуг, но в размере, не превышающем максимального значения цены Контракта.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Порядок определения объема фактически оказанных Услуг на основании заявок Заказчика устанавливается в соответствии с Техническим заданием. </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2.6. В случае если в соответствии с подписанным Сторонами документом о приемке стоимость фактически оказанных Исполнителем Услуг составляет сумму менее размера выплаченного аванса, Исполнитель возвращает разницу между полученным авансом и стоимостью фактически оказанных Услуг в течение 20 (Двадцати) рабочих дней с даты получения соответствующего требования Заказчика.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2.7. При расторжении Контракта, а также в случаях необходимости Стороны проводят сверку взаимных расчетов по Контракту. При этом Сторона, заинтересованная в проведении такой сверки, направляет другой Стороне акт сверки взаимных расчетов в форме электронного документа. Сторона, получившая акт сверки взаимных расчетов, обязуется в течение 10 (Десяти) рабочих дней со дня получения подписать усиленной квалифицированной электронной подписью лица, имеющего право действовать </w:t>
        <w:br/>
        <w:t>от имени Стороны, указанный акт сверки взаимных расчетов и вернуть другой Стороне.</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2.8. Датой исполнения обязательств Заказчика по оплате аванса считается дата списания денежных средств с лицевого счета Заказчика.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r>
    </w:p>
    <w:p>
      <w:pPr>
        <w:pStyle w:val="ListParagraph1"/>
        <w:widowControl w:val="false"/>
        <w:numPr>
          <w:ilvl w:val="0"/>
          <w:numId w:val="3"/>
        </w:numPr>
        <w:tabs>
          <w:tab w:val="clear" w:pos="708"/>
          <w:tab w:val="left" w:pos="993" w:leader="none"/>
        </w:tabs>
        <w:spacing w:lineRule="auto" w:line="252" w:before="0" w:after="0"/>
        <w:ind w:hanging="360" w:left="1069" w:right="0"/>
        <w:contextualSpacing/>
        <w:jc w:val="center"/>
        <w:rPr>
          <w:rFonts w:ascii="Times New Roman" w:hAnsi="Times New Roman"/>
          <w:b/>
        </w:rPr>
      </w:pPr>
      <w:r>
        <w:rPr>
          <w:rFonts w:ascii="Times New Roman" w:hAnsi="Times New Roman"/>
          <w:b/>
        </w:rPr>
        <w:t>ПРАВА И ОБЯЗАННОСТИ ЗАКАЗЧИКА</w:t>
      </w:r>
    </w:p>
    <w:p>
      <w:pPr>
        <w:pStyle w:val="ListParagraph1"/>
        <w:widowControl w:val="false"/>
        <w:tabs>
          <w:tab w:val="clear" w:pos="708"/>
          <w:tab w:val="left" w:pos="993" w:leader="none"/>
        </w:tabs>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tabs>
          <w:tab w:val="clear" w:pos="708"/>
          <w:tab w:val="left" w:pos="0" w:leader="none"/>
          <w:tab w:val="left" w:pos="567" w:leader="none"/>
        </w:tabs>
        <w:spacing w:lineRule="auto" w:line="252" w:before="0" w:after="0"/>
        <w:ind w:firstLine="709" w:left="0" w:right="0"/>
        <w:jc w:val="both"/>
        <w:rPr>
          <w:rFonts w:ascii="Times New Roman" w:hAnsi="Times New Roman"/>
          <w:b/>
        </w:rPr>
      </w:pPr>
      <w:r>
        <w:rPr>
          <w:rFonts w:ascii="Times New Roman" w:hAnsi="Times New Roman"/>
          <w:b/>
        </w:rPr>
        <w:t>3.1. Заказчик</w:t>
      </w:r>
      <w:r>
        <w:rPr>
          <w:rFonts w:ascii="Times New Roman" w:hAnsi="Times New Roman"/>
        </w:rPr>
        <w:t xml:space="preserve"> </w:t>
      </w:r>
      <w:r>
        <w:rPr>
          <w:rFonts w:ascii="Times New Roman" w:hAnsi="Times New Roman"/>
          <w:b/>
        </w:rPr>
        <w:t xml:space="preserve">вправе: </w:t>
      </w:r>
    </w:p>
    <w:p>
      <w:pPr>
        <w:pStyle w:val="Normal"/>
        <w:widowControl/>
        <w:tabs>
          <w:tab w:val="clear" w:pos="708"/>
          <w:tab w:val="left" w:pos="0" w:leader="none"/>
          <w:tab w:val="left" w:pos="567" w:leader="none"/>
        </w:tabs>
        <w:spacing w:lineRule="auto" w:line="252" w:before="0" w:after="0"/>
        <w:ind w:firstLine="709" w:left="0" w:right="0"/>
        <w:jc w:val="both"/>
        <w:rPr>
          <w:rFonts w:ascii="Times New Roman" w:hAnsi="Times New Roman"/>
        </w:rPr>
      </w:pPr>
      <w:r>
        <w:rPr>
          <w:rFonts w:ascii="Times New Roman" w:hAnsi="Times New Roman"/>
        </w:rPr>
        <w:t>3.1.1. Требовать от Исполнителя выполнения условий Контракта.</w:t>
      </w:r>
    </w:p>
    <w:p>
      <w:pPr>
        <w:pStyle w:val="Normal"/>
        <w:widowControl/>
        <w:tabs>
          <w:tab w:val="clear" w:pos="708"/>
          <w:tab w:val="left" w:pos="0" w:leader="none"/>
          <w:tab w:val="left" w:pos="567" w:leader="none"/>
        </w:tabs>
        <w:spacing w:lineRule="auto" w:line="252" w:before="0" w:after="0"/>
        <w:ind w:firstLine="709" w:left="0" w:right="0"/>
        <w:jc w:val="both"/>
        <w:rPr>
          <w:rFonts w:ascii="Times New Roman" w:hAnsi="Times New Roman"/>
        </w:rPr>
      </w:pPr>
      <w:r>
        <w:rPr>
          <w:rFonts w:ascii="Times New Roman" w:hAnsi="Times New Roman"/>
        </w:rPr>
        <w:t>3.1.2. Требовать от Исполнителя оказания Услуг надлежащего качества в порядке, объеме и сроки, предусмотренные Контрактом.</w:t>
      </w:r>
    </w:p>
    <w:p>
      <w:pPr>
        <w:pStyle w:val="Normal"/>
        <w:widowControl w:val="false"/>
        <w:tabs>
          <w:tab w:val="clear" w:pos="708"/>
          <w:tab w:val="left" w:pos="0" w:leader="none"/>
        </w:tabs>
        <w:spacing w:lineRule="auto" w:line="252" w:before="0" w:after="0"/>
        <w:ind w:firstLine="709" w:left="0" w:right="0"/>
        <w:jc w:val="both"/>
        <w:rPr>
          <w:rFonts w:ascii="Times New Roman" w:hAnsi="Times New Roman"/>
        </w:rPr>
      </w:pPr>
      <w:r>
        <w:rPr>
          <w:rFonts w:ascii="Times New Roman" w:hAnsi="Times New Roman"/>
        </w:rPr>
        <w:t>3.1.3. Контролировать исполнение и качество Услуг, без вмешательства в хозяйственную деятельность Исполнителя.</w:t>
      </w:r>
    </w:p>
    <w:p>
      <w:pPr>
        <w:pStyle w:val="Normal"/>
        <w:widowControl w:val="false"/>
        <w:tabs>
          <w:tab w:val="clear" w:pos="708"/>
          <w:tab w:val="left" w:pos="0" w:leader="none"/>
        </w:tabs>
        <w:spacing w:lineRule="auto" w:line="252" w:before="0" w:after="0"/>
        <w:ind w:firstLine="709" w:left="0" w:right="0"/>
        <w:jc w:val="both"/>
        <w:rPr>
          <w:rFonts w:ascii="Times New Roman" w:hAnsi="Times New Roman"/>
        </w:rPr>
      </w:pPr>
      <w:r>
        <w:rPr>
          <w:rFonts w:ascii="Times New Roman" w:hAnsi="Times New Roman"/>
        </w:rPr>
        <w:t>3.1.4.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Контрактом.</w:t>
      </w:r>
    </w:p>
    <w:p>
      <w:pPr>
        <w:pStyle w:val="Normal"/>
        <w:widowControl w:val="false"/>
        <w:tabs>
          <w:tab w:val="clear" w:pos="708"/>
          <w:tab w:val="left" w:pos="0" w:leader="none"/>
        </w:tabs>
        <w:spacing w:lineRule="auto" w:line="252" w:before="0" w:after="0"/>
        <w:ind w:firstLine="709" w:left="0" w:right="0"/>
        <w:jc w:val="both"/>
        <w:rPr>
          <w:rFonts w:ascii="Times New Roman" w:hAnsi="Times New Roman"/>
        </w:rPr>
      </w:pPr>
      <w:r>
        <w:rPr>
          <w:rFonts w:ascii="Times New Roman" w:hAnsi="Times New Roman"/>
        </w:rPr>
        <w:t>3.1.5. При обнаружении несоответствия результатов оказанных Услуг условиям Контракта вызвать полномочных представителей Исполнителя для представления разъяснений в отношении результатов оказанных Услуг.</w:t>
      </w:r>
    </w:p>
    <w:p>
      <w:pPr>
        <w:pStyle w:val="Normal"/>
        <w:widowControl w:val="false"/>
        <w:tabs>
          <w:tab w:val="clear" w:pos="708"/>
          <w:tab w:val="left" w:pos="0" w:leader="none"/>
        </w:tabs>
        <w:spacing w:lineRule="auto" w:line="252" w:before="0" w:after="0"/>
        <w:ind w:firstLine="709" w:left="0" w:right="0"/>
        <w:jc w:val="both"/>
        <w:rPr>
          <w:rFonts w:ascii="Times New Roman" w:hAnsi="Times New Roman"/>
        </w:rPr>
      </w:pPr>
      <w:r>
        <w:rPr>
          <w:rFonts w:ascii="Times New Roman" w:hAnsi="Times New Roman"/>
        </w:rPr>
        <w:t>3.1.6. Отказаться от приемки Услуг в случаях, предусмотренных Контрактом и законодательством Российской Федерации, в том числе в случае обнаружения неустранимых в разумный срок недостатков.</w:t>
      </w:r>
    </w:p>
    <w:p>
      <w:pPr>
        <w:pStyle w:val="Normal"/>
        <w:widowControl w:val="false"/>
        <w:tabs>
          <w:tab w:val="clear" w:pos="708"/>
          <w:tab w:val="left" w:pos="0" w:leader="none"/>
        </w:tabs>
        <w:spacing w:lineRule="auto" w:line="252" w:before="0" w:after="0"/>
        <w:ind w:firstLine="709" w:left="0" w:right="0"/>
        <w:jc w:val="both"/>
        <w:rPr>
          <w:rFonts w:ascii="Times New Roman" w:hAnsi="Times New Roman"/>
        </w:rPr>
      </w:pPr>
      <w:r>
        <w:rPr>
          <w:rFonts w:ascii="Times New Roman" w:hAnsi="Times New Roman"/>
        </w:rPr>
        <w:t>3.1.7. По соглашению с Исполнителем изменить существенные условия Контракта в случаях, установленных законодательством Российской Федерации.</w:t>
      </w:r>
    </w:p>
    <w:p>
      <w:pPr>
        <w:pStyle w:val="Normal"/>
        <w:widowControl w:val="false"/>
        <w:tabs>
          <w:tab w:val="clear" w:pos="708"/>
          <w:tab w:val="left" w:pos="0" w:leader="none"/>
        </w:tabs>
        <w:spacing w:lineRule="auto" w:line="252" w:before="0" w:after="0"/>
        <w:ind w:firstLine="709" w:left="0" w:right="0"/>
        <w:jc w:val="both"/>
        <w:rPr>
          <w:rFonts w:ascii="Times New Roman" w:hAnsi="Times New Roman"/>
          <w:b/>
        </w:rPr>
      </w:pPr>
      <w:r>
        <w:rPr>
          <w:rFonts w:ascii="Times New Roman" w:hAnsi="Times New Roman"/>
          <w:b/>
        </w:rPr>
        <w:t>3.2. Заказчик обязан:</w:t>
      </w:r>
    </w:p>
    <w:p>
      <w:pPr>
        <w:pStyle w:val="Normal"/>
        <w:widowControl/>
        <w:tabs>
          <w:tab w:val="clear" w:pos="708"/>
          <w:tab w:val="left" w:pos="0" w:leader="none"/>
        </w:tabs>
        <w:spacing w:lineRule="auto" w:line="252" w:before="0" w:after="0"/>
        <w:ind w:firstLine="709" w:left="0" w:right="0"/>
        <w:jc w:val="both"/>
        <w:rPr>
          <w:rFonts w:ascii="Times New Roman" w:hAnsi="Times New Roman"/>
        </w:rPr>
      </w:pPr>
      <w:r>
        <w:rPr>
          <w:rFonts w:ascii="Times New Roman" w:hAnsi="Times New Roman"/>
        </w:rPr>
        <w:t>3.2.1. Обеспечить приемку и оплату оказанных Услуг в порядке и в сроки, установленные Контрактом.</w:t>
      </w:r>
    </w:p>
    <w:p>
      <w:pPr>
        <w:pStyle w:val="Normal"/>
        <w:widowControl/>
        <w:tabs>
          <w:tab w:val="clear" w:pos="708"/>
          <w:tab w:val="left" w:pos="0" w:leader="none"/>
        </w:tabs>
        <w:spacing w:lineRule="auto" w:line="252" w:before="0" w:after="0"/>
        <w:ind w:firstLine="709" w:left="0" w:right="0"/>
        <w:jc w:val="both"/>
        <w:rPr>
          <w:rFonts w:ascii="Times New Roman" w:hAnsi="Times New Roman"/>
        </w:rPr>
      </w:pPr>
      <w:r>
        <w:rPr>
          <w:rFonts w:ascii="Times New Roman" w:hAnsi="Times New Roman"/>
        </w:rPr>
      </w:r>
    </w:p>
    <w:p>
      <w:pPr>
        <w:pStyle w:val="ListParagraph1"/>
        <w:widowControl w:val="false"/>
        <w:numPr>
          <w:ilvl w:val="0"/>
          <w:numId w:val="3"/>
        </w:numPr>
        <w:tabs>
          <w:tab w:val="clear" w:pos="708"/>
          <w:tab w:val="left" w:pos="142" w:leader="none"/>
          <w:tab w:val="left" w:pos="284" w:leader="none"/>
        </w:tabs>
        <w:spacing w:lineRule="auto" w:line="252" w:before="0" w:after="0"/>
        <w:ind w:hanging="360" w:left="1069" w:right="0"/>
        <w:contextualSpacing/>
        <w:jc w:val="center"/>
        <w:rPr>
          <w:rFonts w:ascii="Times New Roman" w:hAnsi="Times New Roman"/>
          <w:b/>
        </w:rPr>
      </w:pPr>
      <w:r>
        <w:rPr>
          <w:rFonts w:ascii="Times New Roman" w:hAnsi="Times New Roman"/>
          <w:b/>
        </w:rPr>
        <w:t>ПРАВА И ОБЯЗАННОСТИ ИСПОЛНИТЕЛЯ</w:t>
      </w:r>
    </w:p>
    <w:p>
      <w:pPr>
        <w:pStyle w:val="ListParagraph1"/>
        <w:widowControl w:val="false"/>
        <w:tabs>
          <w:tab w:val="clear" w:pos="708"/>
          <w:tab w:val="left" w:pos="142" w:leader="none"/>
          <w:tab w:val="left" w:pos="284" w:leader="none"/>
        </w:tabs>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val="false"/>
        <w:spacing w:lineRule="auto" w:line="252" w:before="0" w:after="0"/>
        <w:ind w:firstLine="709" w:left="0" w:right="0"/>
        <w:jc w:val="both"/>
        <w:rPr>
          <w:rFonts w:ascii="Times New Roman" w:hAnsi="Times New Roman"/>
          <w:b/>
        </w:rPr>
      </w:pPr>
      <w:r>
        <w:rPr>
          <w:rFonts w:ascii="Times New Roman" w:hAnsi="Times New Roman"/>
          <w:b/>
        </w:rPr>
        <w:t>4.1. Исполнитель вправе:</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4.1.1. Требовать от Заказчика выполнения условий Контракта.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4.1.2. Запрашивать и получать у Заказчика информацию, необходимую для оказания Услуг.</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4.1.3. Привлекать для оказания Услуг субподрядчиков, соисполнителей, при этом, </w:t>
        <w:br/>
        <w:t>объем выполняемых лично Исполнителем обязательств по Контракту должен составлять не менее 5%  от стоимости фактически оказанных Услуг. В случае привлечения субподрядчиков, соисполнителей для оказания Услуг, требующих наличие лицензии, субподрядчики, соисполнители должны обладать соответствующей лицензией.</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4.1.4. Уведомить Заказчика в случае, если расчетная совокупная стоимость Услуг по заявкам Заказчика превысит максимальное значение цены Контракта, установленное пунктом 2.1 Контракта.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4.1.5. Не оказывать Услуги (приостановить оказание Услуг) в случае, если фактическая совокупная стоимость Услуг по заявкам Заказчика превысила максимальное значение цены Контракта, установленное пунктом 2.1 Контракта.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b/>
        </w:rPr>
        <w:t>4.2. Исполнитель обязан:</w:t>
      </w:r>
      <w:r>
        <w:rPr>
          <w:rFonts w:ascii="Times New Roman" w:hAnsi="Times New Roman"/>
        </w:rPr>
        <w:t xml:space="preserve"> </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4.2.1. Своевременно и надлежащим образом оказать Услуги в соответствии с условиями Контракта, требованиями законодательства Российской Федерации. </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4.2.2. Своими силами и за свой счет устранять недостатки и/или иные отступления от требований Контракта в установленные Заказчиком сроки.</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4.2.3. Поддерживать и охранять законные интересы Заказчика в своих отношениях с любыми третьими лицами.</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4.2.4. Предоставлять по запросам Заказчика и в установленные им сроки информацию о ходе исполнения Контракта. </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4.2.5. По факту оказания Услуг предоставить Заказчику документ о приемке и отчетные материалы, предусмотренные Контрактом.</w:t>
      </w:r>
      <w:r>
        <w:rPr/>
        <w:t xml:space="preserve"> </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4.2.6. Самостоятельно приобретать материальные ресурсы, необходимые для исполнения Контракта.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4.2.7. Обеспечивать сохранность документов и сведений, получаемых и составляемых в процессе оказания Услуг.</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4.2.8. Незамедлительно известить Заказчика и до получения от него указаний приостановить исполнение обязанностей по Контракту при обнаружении не зависящих от Исполнителя обстоятельств, угрожающих качеству результатов оказываемых Услуг по Контракту, либо создающих невозможность завершения их в установленный Контрактом срок.</w:t>
      </w:r>
    </w:p>
    <w:p>
      <w:pPr>
        <w:pStyle w:val="Normal"/>
        <w:widowControl w:val="false"/>
        <w:spacing w:lineRule="auto" w:line="252" w:before="0" w:after="0"/>
        <w:ind w:firstLine="709" w:left="0" w:right="0"/>
        <w:jc w:val="both"/>
        <w:rPr>
          <w:rFonts w:ascii="Times New Roman" w:hAnsi="Times New Roman"/>
          <w:i/>
          <w:i/>
        </w:rPr>
      </w:pPr>
      <w:r>
        <w:rPr>
          <w:rFonts w:ascii="Times New Roman" w:hAnsi="Times New Roman"/>
          <w:i/>
        </w:rPr>
      </w:r>
      <w:bookmarkStart w:id="1" w:name="Par8"/>
      <w:bookmarkStart w:id="2" w:name="p6"/>
      <w:bookmarkStart w:id="3" w:name="Par8"/>
      <w:bookmarkStart w:id="4" w:name="p6"/>
      <w:bookmarkEnd w:id="3"/>
      <w:bookmarkEnd w:id="4"/>
    </w:p>
    <w:p>
      <w:pPr>
        <w:pStyle w:val="ListParagraph1"/>
        <w:widowControl/>
        <w:numPr>
          <w:ilvl w:val="0"/>
          <w:numId w:val="3"/>
        </w:numPr>
        <w:tabs>
          <w:tab w:val="clear" w:pos="708"/>
          <w:tab w:val="left" w:pos="0" w:leader="none"/>
          <w:tab w:val="left" w:pos="284" w:leader="none"/>
        </w:tabs>
        <w:spacing w:lineRule="auto" w:line="252" w:before="0" w:after="0"/>
        <w:ind w:hanging="360" w:left="1069" w:right="0"/>
        <w:contextualSpacing/>
        <w:jc w:val="center"/>
        <w:rPr>
          <w:rFonts w:ascii="Times New Roman" w:hAnsi="Times New Roman"/>
          <w:b/>
        </w:rPr>
      </w:pPr>
      <w:r>
        <w:rPr>
          <w:rFonts w:ascii="Times New Roman" w:hAnsi="Times New Roman"/>
          <w:b/>
        </w:rPr>
        <w:t>КАЧЕСТВО И ОБЪЕМ УСЛУГ. ПОРЯДОК СДАЧИ-ПРИЕМКИ</w:t>
      </w:r>
    </w:p>
    <w:p>
      <w:pPr>
        <w:pStyle w:val="ListParagraph1"/>
        <w:widowControl/>
        <w:tabs>
          <w:tab w:val="clear" w:pos="708"/>
          <w:tab w:val="left" w:pos="0" w:leader="none"/>
          <w:tab w:val="left" w:pos="284" w:leader="none"/>
        </w:tabs>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5.1. Качество и объем оказанных Исполнителем Услуг должны соответствовать требованиям Заказчика, установленным в Контракте, а также требованиям, обычно предъявляемым к услугам соответствующего рода. Если законом или иными правовыми актами предусмотрены обязательные требования к оказываемым Услугам, Исполнитель обязан оказать Услуги, соблюдая эти обязательные требования. </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При исполнении Контракта (за исключением случаев, предусмотренных подпунктом «в» пункта 1, подпунктом «б» пункта 2, подпунктом «в» пункта 3 части 4 статьи 14 Закона о контрактной системе) </w:t>
        <w:br/>
        <w:t xml:space="preserve">по согласованию Заказчика с Исполнителем допускается оказание Услуг качество, технические </w:t>
        <w:br/>
        <w:t xml:space="preserve">и функциональные характеристики (потребительские свойства) которых являются улучшенными </w:t>
        <w:br/>
        <w:t xml:space="preserve">по сравнению с качеством и соответствующими техническими и функциональными характеристиками, указанными в Контракте. </w:t>
      </w:r>
    </w:p>
    <w:p>
      <w:pPr>
        <w:pStyle w:val="Normal"/>
        <w:widowControl w:val="false"/>
        <w:tabs>
          <w:tab w:val="clear" w:pos="708"/>
          <w:tab w:val="left" w:pos="1985" w:leader="none"/>
        </w:tabs>
        <w:spacing w:lineRule="auto" w:line="252" w:before="0" w:after="0"/>
        <w:ind w:firstLine="709" w:left="0" w:right="0"/>
        <w:jc w:val="both"/>
        <w:rPr>
          <w:rFonts w:ascii="Times New Roman" w:hAnsi="Times New Roman"/>
        </w:rPr>
      </w:pPr>
      <w:r>
        <w:rPr>
          <w:rFonts w:ascii="Times New Roman" w:hAnsi="Times New Roman"/>
        </w:rPr>
        <w:t>5.2. По факту оказания Услуг, Исполнитель ежемесячно не позднее 10 (десяти) рабочих дней месяца, следующего за отчетным, с использованием ЕИС подписывает усиленной квалифицированной электронной подписью лица, имеющего право действовать от имени Исполнителя, и размещает в ЕИС документ о приемке, который должен содержать информацию, предусмотренную частью 13 статьи 94 Закона о контрактной системе.</w:t>
      </w:r>
    </w:p>
    <w:p>
      <w:pPr>
        <w:pStyle w:val="Normal"/>
        <w:widowControl w:val="false"/>
        <w:tabs>
          <w:tab w:val="clear" w:pos="708"/>
          <w:tab w:val="left" w:pos="1985" w:leader="none"/>
        </w:tabs>
        <w:spacing w:lineRule="auto" w:line="252" w:before="0" w:after="0"/>
        <w:ind w:firstLine="709" w:left="0" w:right="0"/>
        <w:jc w:val="both"/>
        <w:rPr>
          <w:rFonts w:ascii="Times New Roman" w:hAnsi="Times New Roman"/>
        </w:rPr>
      </w:pPr>
      <w:r>
        <w:rPr>
          <w:rFonts w:ascii="Times New Roman" w:hAnsi="Times New Roman"/>
        </w:rPr>
        <w:t>Не позднее дня направления в ЕИС документа о приемке Исполнитель предоставляет Заказчику отчетные материалы, предусмотренные Контрактом и Техническим заданием.</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В случае, если информация, содержащаяся в документах, прилагаемых к документу о приемке, </w:t>
        <w:br/>
        <w:t>не соответствует информации, содержащейся в документе о приемке, приоритет имеет информация, содержащаяся в документе о приемке.</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5.3. 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обязан провести экспертизу. Экспертиза результатов оказанных Услуг,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государственных контрактов, заключенных в соответствии с Законом о контрактной системе.</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 xml:space="preserve">5.4. Заказчик не позднее </w:t>
      </w:r>
      <w:r>
        <w:rPr>
          <w:rFonts w:ascii="Times New Roman" w:hAnsi="Times New Roman"/>
          <w:b/>
        </w:rPr>
        <w:t>20</w:t>
      </w:r>
      <w:r>
        <w:rPr>
          <w:rFonts w:ascii="Times New Roman" w:hAnsi="Times New Roman"/>
        </w:rPr>
        <w:t xml:space="preserve"> (Двадцати) рабочих дней с даты получения документов, указанных </w:t>
        <w:br/>
        <w:t>в пункте 5.2 Контракта, обязан рассмотреть представленные отчетные материалы</w:t>
      </w:r>
      <w:r>
        <w:rPr>
          <w:rFonts w:ascii="Times New Roman" w:hAnsi="Times New Roman"/>
          <w:i/>
        </w:rPr>
        <w:t>.</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Заказчик для приемки оказанных Услуг вправе создать приемочную комиссию.</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5.5. В случаях, когда Услуги оказаны Исполнителем с отступлениями от условий Контракта, ухудшившими результат оказанных Услуг, Заказчик в срок, указанный в пункте 5.4 Контракта, направляет Исполнителю мотивированный отказ от подписания документа о приемке с указанием причин такого отказа.</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5.6. Мотивированный отказ от подписания документа о приемке должен содержать перечень недостатков и (или) необходимых доработок и срок их устранения Исполнителем, составляющий не менее 10 (Десяти) рабочих дней.</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 xml:space="preserve">5.7. Исполнитель обязан устранить недостатки и (или) осуществить необходимые доработки, </w:t>
        <w:br/>
        <w:t>после чего Исполнитель должен снова представить Заказчику документы, предусмотренные пунктом 5.2 Контракта, не позднее срока, установленного Заказчиком в мотивированном отказе.</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5.8. После представления Исполнителем документов в соответствии с пунктом 5.7 Контракта Заказчик обязан рассмотреть их в порядке и в сроки, установленные пунктами 5.4 – 5.6 Контракта.</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5.9. В случае если по итогам приемки стоимость фактически оказанных Исполнителем и принятых Заказчиком Услуг составляет сумму менее размера, указанного Исполнителем в документе о приемке, в документе о приемке Заказчиком указывается стоимость фактически оказанных Услуг, подлежащая оплате Исполнителю.</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5.10. Заказчик в случае принятия решения о приемке результатов оказанных Услуг в срок, указанный в пункте 5.4 Контракта, подписывает со своей Стороны усиленной квалифицированной электронной подписью лица, имеющего право действовать от имени Заказчика, документ о приемке и направляет его Исполнителю.</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5.11. Внесение исправлений в документ о приемке осуществляется путем формирования, подписания усиленными квалифицированными электронными подписями лиц, имеющих право действовать от имени Исполнителя, Заказчика, и размещения в ЕИС исправленного документа о приемке.</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5.12.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Датой поступления Заказчику документов, указанных в абзаце 2 пункта 5.2 Контракта, является дата их регистрации Заказчиком или дата, зафиксированная в информационных системах, используемых Сторонами для электронного документооборота в соответствии с пунктом 12.5 Контракта.</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5.13. Датой приемки оказанных Услуг считается дата размещения в ЕИС документа о приемке, подписанного Заказчиком.</w:t>
      </w:r>
    </w:p>
    <w:p>
      <w:pPr>
        <w:pStyle w:val="Normal"/>
        <w:widowControl/>
        <w:spacing w:lineRule="auto" w:line="252" w:before="0" w:after="0"/>
        <w:rPr>
          <w:rFonts w:ascii="Times New Roman" w:hAnsi="Times New Roman"/>
          <w:b/>
        </w:rPr>
      </w:pPr>
      <w:r>
        <w:rPr>
          <w:rFonts w:ascii="Times New Roman" w:hAnsi="Times New Roman"/>
          <w:b/>
        </w:rPr>
      </w:r>
    </w:p>
    <w:p>
      <w:pPr>
        <w:pStyle w:val="ListParagraph1"/>
        <w:widowControl/>
        <w:numPr>
          <w:ilvl w:val="0"/>
          <w:numId w:val="3"/>
        </w:numPr>
        <w:spacing w:lineRule="auto" w:line="252" w:before="0" w:after="0"/>
        <w:ind w:hanging="360" w:left="1069" w:right="0"/>
        <w:contextualSpacing/>
        <w:jc w:val="center"/>
        <w:rPr>
          <w:rFonts w:ascii="Times New Roman" w:hAnsi="Times New Roman"/>
          <w:b/>
        </w:rPr>
      </w:pPr>
      <w:r>
        <w:rPr>
          <w:rFonts w:ascii="Times New Roman" w:hAnsi="Times New Roman"/>
          <w:b/>
        </w:rPr>
        <w:t>ОТВЕТСТВЕННОСТЬ СТОРОН</w:t>
      </w:r>
    </w:p>
    <w:p>
      <w:pPr>
        <w:pStyle w:val="ListParagraph1"/>
        <w:widowControl/>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spacing w:lineRule="auto" w:line="252" w:before="0" w:after="0"/>
        <w:ind w:firstLine="709" w:left="0" w:right="0"/>
        <w:jc w:val="both"/>
        <w:rPr>
          <w:rFonts w:ascii="Times New Roman" w:hAnsi="Times New Roman"/>
        </w:rPr>
      </w:pPr>
      <w:r>
        <w:rPr>
          <w:rFonts w:ascii="Times New Roman" w:hAnsi="Times New Roman"/>
        </w:rPr>
        <w:t>6.1.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условиями Контракта.</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6.2. Размер штрафа рассчитывается как процент цены Контракта (этапа).</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6.3.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случая, предусмотренного пунктом 6.4 Контракта), размер штрафа определяется в следующем порядке:</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а) 10 процентов цены Контракта (этапа) в случае, если цена Контракта (этапа) не превышает 3 млн. рублей;</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определяется </w:t>
        <w:br/>
        <w:t>в следующем порядке:</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а) 1000 рублей, если цена Контракта не превышает 3 млн. рублей;</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б) 5000 рублей, если цена Контракта составляет от 3 млн. рублей до 50 млн. рублей (включительно);</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в) 10000 рублей, если цена Контракта составляет от 50 млн. рублей до 100 млн. рублей (включительно);</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г) 100000 рублей, если цена Контракта превышает 100 млн. рублей;</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и составляет 5 000,00 (Пять тысяч) рублей 00 копеек.</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6.5.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6.6. За каждый факт неисполнения Заказчиком обязательств, предусмотренных Контрактом, </w:t>
        <w:br/>
        <w:t>за исключением просрочки исполнения обязательств, предусмотренных Контрактом, размер штрафа определяется в следующем порядке:</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а) 1000 рублей, если цена Контракта не превышает 3 млн. рублей (включительно);</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б) 5000 рублей, если цена Контракта составляет от 3 млн. рублей до 50 млн. рублей (включительно);</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в) 10000 рублей, если цена Контракта составляет от 50 млн. рублей до 100 млн. рублей (включительно);</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г) 100000 рублей, если цена Контракта превышает 100 млн. рублей</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и составляет 5 000,00 (Пять тысяч) рублей 00 копеек.</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6.7.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6.10. Стороны Контракта освобождаются от уплаты неустойки (штрафа, пеней), если докажут, </w:t>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6.11. Применение неустойки (штрафа, пеней) не освобождает Стороны от исполнения принятых </w:t>
        <w:br/>
        <w:t>на себя обязательств по Контракту.</w:t>
      </w:r>
    </w:p>
    <w:p>
      <w:pPr>
        <w:pStyle w:val="Normal"/>
        <w:widowControl/>
        <w:spacing w:lineRule="auto" w:line="252" w:before="0" w:after="0"/>
        <w:ind w:firstLine="709" w:left="0" w:right="0"/>
        <w:jc w:val="both"/>
        <w:rPr>
          <w:rFonts w:ascii="Times New Roman" w:hAnsi="Times New Roman"/>
        </w:rPr>
      </w:pPr>
      <w:r>
        <w:rPr>
          <w:rFonts w:ascii="Times New Roman" w:hAnsi="Times New Roman"/>
        </w:rPr>
      </w:r>
    </w:p>
    <w:p>
      <w:pPr>
        <w:pStyle w:val="ListParagraph1"/>
        <w:widowControl/>
        <w:numPr>
          <w:ilvl w:val="0"/>
          <w:numId w:val="3"/>
        </w:numPr>
        <w:spacing w:lineRule="auto" w:line="252" w:before="0" w:after="0"/>
        <w:ind w:hanging="360" w:left="1069" w:right="0"/>
        <w:contextualSpacing/>
        <w:jc w:val="center"/>
        <w:rPr>
          <w:rFonts w:ascii="Times New Roman" w:hAnsi="Times New Roman"/>
          <w:b/>
        </w:rPr>
      </w:pPr>
      <w:r>
        <w:rPr>
          <w:rFonts w:ascii="Times New Roman" w:hAnsi="Times New Roman"/>
          <w:b/>
        </w:rPr>
        <w:t>ПОРЯДОК РАЗРЕШЕНИЯ СПОРОВ</w:t>
      </w:r>
    </w:p>
    <w:p>
      <w:pPr>
        <w:pStyle w:val="ListParagraph1"/>
        <w:widowControl/>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7.1. Все споры и разногласия, которые могут возникнуть из Контракта между Сторонами, разрешаются в претензионном порядке.</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7.2. Претензия оформляется в письменной форме. В подтверждение заявленных требований </w:t>
        <w:br/>
        <w:t xml:space="preserve">в претензии могут быть указаны сведения, которые, по мнению Стороны, направляющей претензию, будут способствовать более быстрому и правильному ее рассмотрению, объективному урегулированию спора, также к претензии могут быть приложены надлежащим образом оформленные необходимые документы либо выписки из них. </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7.3. Срок рассмотрения писем, уведомлений или претензий не может превышать 10 (Десять) рабочих дней с даты их получения Стороной за исключением иного срока, установленного Контрактом. </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7.4. При не урегулировании Сторонами спора в досудебном порядке спор, разногласия </w:t>
        <w:br/>
        <w:t>или требования, возникающие из Контракта либо в связи с ним, в том числе касающиеся его исполнения, нарушения, прекращения или недействительности подлежат разрешению в Арбитражном суде города Москвы.</w:t>
      </w:r>
    </w:p>
    <w:p>
      <w:pPr>
        <w:pStyle w:val="Normal"/>
        <w:widowControl/>
        <w:spacing w:lineRule="auto" w:line="252" w:before="0" w:after="0"/>
        <w:ind w:firstLine="709" w:left="0" w:right="0"/>
        <w:jc w:val="both"/>
        <w:rPr>
          <w:rFonts w:ascii="Times New Roman" w:hAnsi="Times New Roman"/>
        </w:rPr>
      </w:pPr>
      <w:r>
        <w:rPr>
          <w:rFonts w:ascii="Times New Roman" w:hAnsi="Times New Roman"/>
        </w:rPr>
      </w:r>
    </w:p>
    <w:p>
      <w:pPr>
        <w:pStyle w:val="Normal"/>
        <w:widowControl/>
        <w:spacing w:lineRule="auto" w:line="252" w:before="0" w:after="0"/>
        <w:ind w:firstLine="709" w:left="0" w:right="0"/>
        <w:jc w:val="both"/>
        <w:rPr>
          <w:rFonts w:ascii="Times New Roman" w:hAnsi="Times New Roman"/>
        </w:rPr>
      </w:pPr>
      <w:r>
        <w:rPr>
          <w:rFonts w:ascii="Times New Roman" w:hAnsi="Times New Roman"/>
        </w:rPr>
      </w:r>
    </w:p>
    <w:p>
      <w:pPr>
        <w:pStyle w:val="Normal"/>
        <w:widowControl/>
        <w:tabs>
          <w:tab w:val="clear" w:pos="708"/>
          <w:tab w:val="left" w:pos="7555" w:leader="none"/>
        </w:tabs>
        <w:spacing w:lineRule="auto" w:line="252" w:before="0" w:after="0"/>
        <w:ind w:firstLine="709" w:left="0" w:right="0"/>
        <w:jc w:val="both"/>
        <w:rPr>
          <w:rFonts w:ascii="Times New Roman" w:hAnsi="Times New Roman"/>
        </w:rPr>
      </w:pPr>
      <w:r>
        <w:rPr>
          <w:rFonts w:ascii="Times New Roman" w:hAnsi="Times New Roman"/>
        </w:rPr>
      </w:r>
    </w:p>
    <w:p>
      <w:pPr>
        <w:pStyle w:val="ListParagraph1"/>
        <w:widowControl/>
        <w:numPr>
          <w:ilvl w:val="0"/>
          <w:numId w:val="3"/>
        </w:numPr>
        <w:spacing w:lineRule="auto" w:line="252" w:before="0" w:after="0"/>
        <w:ind w:hanging="360" w:left="1069" w:right="0"/>
        <w:contextualSpacing/>
        <w:jc w:val="center"/>
        <w:rPr>
          <w:rFonts w:ascii="Times New Roman" w:hAnsi="Times New Roman"/>
          <w:b/>
        </w:rPr>
      </w:pPr>
      <w:r>
        <w:rPr>
          <w:rFonts w:ascii="Times New Roman" w:hAnsi="Times New Roman"/>
          <w:b/>
        </w:rPr>
        <w:t>ПОРЯДОК ИЗМЕНЕНИЯ И РАСТОРЖЕНИЯ КОНТРАКТА</w:t>
      </w:r>
    </w:p>
    <w:p>
      <w:pPr>
        <w:pStyle w:val="ListParagraph1"/>
        <w:widowControl/>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tabs>
          <w:tab w:val="clear" w:pos="708"/>
          <w:tab w:val="left" w:pos="540" w:leader="none"/>
        </w:tabs>
        <w:spacing w:lineRule="auto" w:line="252" w:before="0" w:after="0"/>
        <w:ind w:firstLine="709" w:left="0" w:right="0"/>
        <w:jc w:val="both"/>
        <w:rPr>
          <w:rFonts w:ascii="Times New Roman" w:hAnsi="Times New Roman"/>
          <w:spacing w:val="-4"/>
        </w:rPr>
      </w:pPr>
      <w:r>
        <w:rPr>
          <w:rFonts w:ascii="Times New Roman" w:hAnsi="Times New Roman"/>
        </w:rPr>
        <w:t xml:space="preserve">8.1. </w:t>
      </w:r>
      <w:r>
        <w:rPr>
          <w:rFonts w:ascii="Times New Roman" w:hAnsi="Times New Roman"/>
          <w:spacing w:val="-4"/>
        </w:rPr>
        <w:t xml:space="preserve">В </w:t>
      </w:r>
      <w:r>
        <w:rPr>
          <w:rFonts w:ascii="Times New Roman" w:hAnsi="Times New Roman"/>
        </w:rPr>
        <w:t>Контракт</w:t>
      </w:r>
      <w:r>
        <w:rPr>
          <w:rFonts w:ascii="Times New Roman" w:hAnsi="Times New Roman"/>
          <w:spacing w:val="-4"/>
        </w:rPr>
        <w:t xml:space="preserve"> по письменному (электронному) соглашению Сторон могут быть внесены изменения, </w:t>
        <w:br/>
        <w:t>не противоречащие законодательству Российской Федерации.</w:t>
      </w:r>
    </w:p>
    <w:p>
      <w:pPr>
        <w:pStyle w:val="Normal"/>
        <w:widowControl/>
        <w:spacing w:lineRule="auto" w:line="252" w:before="0" w:after="0"/>
        <w:ind w:firstLine="709" w:left="0" w:right="0"/>
        <w:jc w:val="both"/>
        <w:rPr>
          <w:rFonts w:ascii="Times New Roman" w:hAnsi="Times New Roman"/>
        </w:rPr>
      </w:pPr>
      <w:r>
        <w:rPr>
          <w:rFonts w:ascii="Times New Roman" w:hAnsi="Times New Roman"/>
        </w:rPr>
        <w:t xml:space="preserve">8.2. Любые изменения к Контракту будут действительны лишь в том случае, если они совершены </w:t>
        <w:br/>
        <w:t>в письменной форме (электронной) и подписаны Сторонами. Все дополнительные соглашения к Контракту являются его неотъемлемой частью.</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8.3.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Расторжение Контракта в случае одностороннего отказа от исполнения одной из его Сторон осуществляется с соблюдением требований частей 8 - 11, 13 - 19, 21 - 23 и 25 статьи 95 Закона о контрактной системе.</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8.4. Заказчик, по основаниям, указанным в Гражданском кодексе Российской Федерации, вправе принять решение об одностороннем отказе от исполнения Контракта в случае отступления Исполнителем при оказании Услуг от условий Контракта или при наличии иных недостатков результатов оказания Услуг, которые не были устранены в разумный срок, либо являются существенными и неустранимыми в порядке, установленном Законом о контрактной системе.</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8.5. Сторона, которой направлено предложение о расторжении Контракта по соглашению Сторон, должна дать письменный ответ, по существу, в срок не позднее 10 (Десяти) рабочих дней с даты </w:t>
        <w:br/>
        <w:t>его получения.</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8.6. При исполнении Контракта не допускается перемена Исполнителя, за исключением случая, </w:t>
        <w:br/>
        <w:t>если новый исполнитель является правопреемником Исполнителя по Контракту вследствие реорганизации Исполнителя в форме преобразования, слияния или присоединения.</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8.7. Заказчик принимает решение об одностороннем отказе от исполнения Контракта в случае</w:t>
      </w:r>
      <w:bookmarkStart w:id="5" w:name="dst171"/>
      <w:bookmarkEnd w:id="5"/>
      <w:r>
        <w:rPr>
          <w:rFonts w:ascii="Times New Roman" w:hAnsi="Times New Roman"/>
        </w:rPr>
        <w:t xml:space="preserve">, если в ходе исполнения Контракта установлено, что вследствие реорганизации юридического лица, являющегося Исполнителем,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r:id="rId2" w:anchor="dst12374" w:tgtFrame="https://www.consultant.ru/document/cons_doc_LAW_466154/c360930e35e7953c74744ed45738094d9503d732/#dst12374">
        <w:r>
          <w:rPr>
            <w:rStyle w:val="ListLabel46"/>
            <w:rFonts w:ascii="Times New Roman" w:hAnsi="Times New Roman"/>
          </w:rPr>
          <w:t>подпунктами «а</w:t>
        </w:r>
      </w:hyperlink>
      <w:r>
        <w:rPr>
          <w:rFonts w:ascii="Times New Roman" w:hAnsi="Times New Roman"/>
        </w:rPr>
        <w:t xml:space="preserve">» и </w:t>
      </w:r>
      <w:hyperlink r:id="rId3" w:anchor="dst12375" w:tgtFrame="https://www.consultant.ru/document/cons_doc_LAW_466154/c360930e35e7953c74744ed45738094d9503d732/#dst12375">
        <w:r>
          <w:rPr>
            <w:rStyle w:val="ListLabel46"/>
            <w:rFonts w:ascii="Times New Roman" w:hAnsi="Times New Roman"/>
          </w:rPr>
          <w:t>«б» пункта 1 части 2 статьи 14</w:t>
        </w:r>
      </w:hyperlink>
      <w:r>
        <w:rPr>
          <w:rFonts w:ascii="Times New Roman" w:hAnsi="Times New Roman"/>
        </w:rPr>
        <w:t xml:space="preserve">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w:t>
      </w:r>
      <w:hyperlink r:id="rId4" w:anchor="dst12376" w:tgtFrame="https://www.consultant.ru/document/cons_doc_LAW_466154/c360930e35e7953c74744ed45738094d9503d732/#dst12376">
        <w:r>
          <w:rPr>
            <w:rStyle w:val="ListLabel46"/>
            <w:rFonts w:ascii="Times New Roman" w:hAnsi="Times New Roman"/>
          </w:rPr>
          <w:t>подпунктом «в» пункта 1 части 2 статьи 14</w:t>
        </w:r>
      </w:hyperlink>
      <w:r>
        <w:rPr>
          <w:rFonts w:ascii="Times New Roman" w:hAnsi="Times New Roman"/>
        </w:rPr>
        <w:t xml:space="preserve">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r>
    </w:p>
    <w:p>
      <w:pPr>
        <w:pStyle w:val="ListParagraph1"/>
        <w:widowControl w:val="false"/>
        <w:numPr>
          <w:ilvl w:val="0"/>
          <w:numId w:val="3"/>
        </w:numPr>
        <w:tabs>
          <w:tab w:val="clear" w:pos="708"/>
          <w:tab w:val="left" w:pos="567" w:leader="none"/>
        </w:tabs>
        <w:spacing w:lineRule="auto" w:line="252" w:before="0" w:after="0"/>
        <w:ind w:hanging="360" w:left="1069" w:right="0"/>
        <w:contextualSpacing/>
        <w:jc w:val="center"/>
        <w:outlineLvl w:val="0"/>
        <w:rPr>
          <w:rFonts w:ascii="Times New Roman" w:hAnsi="Times New Roman"/>
          <w:b/>
        </w:rPr>
      </w:pPr>
      <w:r>
        <w:rPr>
          <w:rFonts w:ascii="Times New Roman" w:hAnsi="Times New Roman"/>
          <w:b/>
        </w:rPr>
        <w:t>КОНФИДЕНЦИАЛЬНОСТЬ</w:t>
      </w:r>
    </w:p>
    <w:p>
      <w:pPr>
        <w:pStyle w:val="ListParagraph1"/>
        <w:widowControl w:val="false"/>
        <w:numPr>
          <w:ilvl w:val="0"/>
          <w:numId w:val="0"/>
        </w:numPr>
        <w:tabs>
          <w:tab w:val="clear" w:pos="708"/>
          <w:tab w:val="left" w:pos="567" w:leader="none"/>
        </w:tabs>
        <w:spacing w:lineRule="auto" w:line="252" w:before="0" w:after="0"/>
        <w:ind w:hanging="0" w:left="1069" w:right="0"/>
        <w:contextualSpacing/>
        <w:outlineLvl w:val="0"/>
        <w:rPr>
          <w:rFonts w:ascii="Times New Roman" w:hAnsi="Times New Roman"/>
          <w:b/>
        </w:rPr>
      </w:pPr>
      <w:r>
        <w:rPr>
          <w:rFonts w:ascii="Times New Roman" w:hAnsi="Times New Roman"/>
          <w:b/>
        </w:rPr>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9.1. Предоставляемая Сторонами друг другу юридическая, финансовая и иная информация, связанная с заключением и исполнением Контракта, в отношении которой распространяется действие Указа Президента Российской Федерации от 6 марта 1997 г. № 188 «Об утверждении Перечня сведений конфиденциального характера», считается информацией ограниченного доступа (далее – конфиденциальная информация).</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9.2. Стороны обязуются, начиная с даты подписания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 xml:space="preserve">9.3. Конфиденциальная информация должна иметь на момент ее раскрытия и передачи четкую маркировку, гриф или иное обозначение раскрывающей информацию Стороной. Если такая маркировка, гриф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w:t>
        <w:br/>
        <w:t>или как того требуют соответствующие стандарты профессиональной этики.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w:t>
      </w:r>
    </w:p>
    <w:p>
      <w:pPr>
        <w:pStyle w:val="Normal"/>
        <w:widowControl w:val="false"/>
        <w:tabs>
          <w:tab w:val="clear" w:pos="708"/>
          <w:tab w:val="left" w:pos="567" w:leader="none"/>
        </w:tabs>
        <w:spacing w:lineRule="auto" w:line="252" w:before="0" w:after="0"/>
        <w:ind w:firstLine="709" w:left="0" w:right="0"/>
        <w:jc w:val="both"/>
        <w:rPr>
          <w:rFonts w:ascii="Times New Roman" w:hAnsi="Times New Roman"/>
        </w:rPr>
      </w:pPr>
      <w:r>
        <w:rPr>
          <w:rFonts w:ascii="Times New Roman" w:hAnsi="Times New Roman"/>
        </w:rPr>
        <w:t xml:space="preserve">– </w:t>
      </w:r>
      <w:r>
        <w:rPr>
          <w:rFonts w:ascii="Times New Roman" w:hAnsi="Times New Roman"/>
        </w:rPr>
        <w:t>которая на момент получения является общедоступной;</w:t>
      </w:r>
    </w:p>
    <w:p>
      <w:pPr>
        <w:pStyle w:val="Normal"/>
        <w:widowControl w:val="false"/>
        <w:tabs>
          <w:tab w:val="clear" w:pos="708"/>
          <w:tab w:val="left" w:pos="567" w:leader="none"/>
        </w:tabs>
        <w:spacing w:lineRule="auto" w:line="252" w:before="0" w:after="0"/>
        <w:ind w:firstLine="709" w:left="0" w:right="0"/>
        <w:jc w:val="both"/>
        <w:rPr>
          <w:rFonts w:ascii="Times New Roman" w:hAnsi="Times New Roman"/>
        </w:rPr>
      </w:pPr>
      <w:r>
        <w:rPr>
          <w:rFonts w:ascii="Times New Roman" w:hAnsi="Times New Roman"/>
        </w:rPr>
        <w:t>– </w:t>
      </w:r>
      <w:r>
        <w:rPr>
          <w:rFonts w:ascii="Times New Roman" w:hAnsi="Times New Roman"/>
        </w:rPr>
        <w:t>которая впоследствии законным образом приобретается от третьей стороны без продолжения ограничений на ее использование;</w:t>
      </w:r>
    </w:p>
    <w:p>
      <w:pPr>
        <w:pStyle w:val="Normal"/>
        <w:widowControl w:val="false"/>
        <w:tabs>
          <w:tab w:val="clear" w:pos="708"/>
          <w:tab w:val="left" w:pos="567" w:leader="none"/>
        </w:tabs>
        <w:spacing w:lineRule="auto" w:line="252" w:before="0" w:after="0"/>
        <w:ind w:firstLine="709" w:left="0" w:right="0"/>
        <w:jc w:val="both"/>
        <w:rPr>
          <w:rFonts w:ascii="Times New Roman" w:hAnsi="Times New Roman"/>
        </w:rPr>
      </w:pPr>
      <w:r>
        <w:rPr>
          <w:rFonts w:ascii="Times New Roman" w:hAnsi="Times New Roman"/>
        </w:rPr>
        <w:t>– </w:t>
      </w:r>
      <w:r>
        <w:rPr>
          <w:rFonts w:ascii="Times New Roman" w:hAnsi="Times New Roman"/>
        </w:rPr>
        <w:t xml:space="preserve">которая должна раскрываться уполномоченным государственным органам в соответствии </w:t>
        <w:br/>
        <w:t>с законодательством Российской Федерации.</w:t>
      </w:r>
    </w:p>
    <w:p>
      <w:pPr>
        <w:pStyle w:val="Normal"/>
        <w:widowControl w:val="false"/>
        <w:tabs>
          <w:tab w:val="clear" w:pos="708"/>
          <w:tab w:val="left" w:pos="567" w:leader="none"/>
        </w:tabs>
        <w:spacing w:lineRule="auto" w:line="252" w:before="0" w:after="0"/>
        <w:ind w:firstLine="709" w:left="0" w:right="0"/>
        <w:jc w:val="both"/>
        <w:rPr>
          <w:rFonts w:ascii="Times New Roman" w:hAnsi="Times New Roman"/>
        </w:rPr>
      </w:pPr>
      <w:r>
        <w:rPr>
          <w:rFonts w:ascii="Times New Roman" w:hAnsi="Times New Roman"/>
        </w:rPr>
        <w:t xml:space="preserve"> </w:t>
      </w:r>
      <w:r>
        <w:rPr>
          <w:rFonts w:ascii="Times New Roman" w:hAnsi="Times New Roman"/>
        </w:rPr>
        <w:t xml:space="preserve">9.4. В случае сомнений относительно конфиденциальности любой полученной, передаваемой </w:t>
        <w:br/>
        <w:t>и раскрываемой информации, которая становится известной Исполнителю, Исполнитель обязуется незамедлительно обратиться к Заказчику за разъяснениями.</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 xml:space="preserve">9.5. Стороны обязуются исключить доступ к конфиденциальной информации третьих лиц </w:t>
        <w:br/>
        <w:t>или представителей Сторон, не уполномоченных работать с конфиденциальной информацией, относящейся к Контракту.</w:t>
      </w:r>
    </w:p>
    <w:p>
      <w:pPr>
        <w:pStyle w:val="Normal"/>
        <w:widowControl w:val="false"/>
        <w:numPr>
          <w:ilvl w:val="0"/>
          <w:numId w:val="0"/>
        </w:numPr>
        <w:tabs>
          <w:tab w:val="clear" w:pos="708"/>
          <w:tab w:val="left" w:pos="567" w:leader="none"/>
        </w:tabs>
        <w:spacing w:lineRule="auto" w:line="252" w:before="0" w:after="0"/>
        <w:ind w:firstLine="709" w:left="0" w:right="0"/>
        <w:jc w:val="both"/>
        <w:outlineLvl w:val="1"/>
        <w:rPr>
          <w:rFonts w:ascii="Times New Roman" w:hAnsi="Times New Roman"/>
        </w:rPr>
      </w:pPr>
      <w:r>
        <w:rPr>
          <w:rFonts w:ascii="Times New Roman" w:hAnsi="Times New Roman"/>
        </w:rPr>
        <w:t>9.6. При исполнении Контракта Стороны обязуются соблюдать требования, установленные Федеральным законом от 27 июля 2006 г. № 152-ФЗ «О персональных данных».</w:t>
      </w:r>
    </w:p>
    <w:p>
      <w:pPr>
        <w:pStyle w:val="Normal"/>
        <w:widowControl w:val="false"/>
        <w:numPr>
          <w:ilvl w:val="0"/>
          <w:numId w:val="0"/>
        </w:numPr>
        <w:tabs>
          <w:tab w:val="clear" w:pos="708"/>
          <w:tab w:val="left" w:pos="567" w:leader="none"/>
        </w:tabs>
        <w:spacing w:lineRule="auto" w:line="252" w:before="0" w:after="0"/>
        <w:ind w:hanging="0" w:left="0"/>
        <w:jc w:val="both"/>
        <w:outlineLvl w:val="1"/>
        <w:rPr>
          <w:rFonts w:ascii="Times New Roman" w:hAnsi="Times New Roman"/>
        </w:rPr>
      </w:pPr>
      <w:r>
        <w:rPr>
          <w:rFonts w:ascii="Times New Roman" w:hAnsi="Times New Roman"/>
        </w:rPr>
      </w:r>
    </w:p>
    <w:p>
      <w:pPr>
        <w:pStyle w:val="ListParagraph1"/>
        <w:widowControl w:val="false"/>
        <w:numPr>
          <w:ilvl w:val="0"/>
          <w:numId w:val="3"/>
        </w:numPr>
        <w:spacing w:lineRule="auto" w:line="252" w:before="0" w:after="0"/>
        <w:ind w:hanging="360" w:left="1069" w:right="0"/>
        <w:contextualSpacing/>
        <w:jc w:val="center"/>
        <w:rPr>
          <w:rFonts w:ascii="Times New Roman" w:hAnsi="Times New Roman"/>
          <w:b/>
        </w:rPr>
      </w:pPr>
      <w:r>
        <w:rPr>
          <w:rFonts w:ascii="Times New Roman" w:hAnsi="Times New Roman"/>
          <w:b/>
        </w:rPr>
        <w:t>НЕПРЕОДОЛИМАЯ СИЛА</w:t>
      </w:r>
    </w:p>
    <w:p>
      <w:pPr>
        <w:pStyle w:val="ListParagraph1"/>
        <w:widowControl w:val="false"/>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10.1. Для целей Контракта «непреодолимая сила» означает чрезвычайное и непредотвратимое </w:t>
        <w:br/>
        <w:t xml:space="preserve">при данных условиях обстоятельство, как это указано в пункте 3 статьи 401 Гражданского кодекса Российской Федерации. Реорганизация, ликвидация или иное изменение правового статуса Исполнителя </w:t>
        <w:br/>
        <w:t>для целей Контракта не является обстоятельством непреодолимой силы.</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10.2. Невыполнение Стороной каких-либо обязательств по Контракту не считается нарушением </w:t>
        <w:br/>
        <w:t>или несоблюдением условий Контракта, если такое невыполнение произошло вследствие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и осуществила разумные альтернативные действия, чтобы выполнить условия Контракта.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10.3. При возникновении обстоятельств непреодолимой силы, если от Заказчика не поступает иных письменных инструкций, Исполнитель обязуется предпринять все возможные меры для надлежащего выполнения своих обязательств по Контракту.</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10.4. Сторона, пострадавшая от обстоятельств непреодолимой силы, должна уведомить другую Сторону о таком событии и о причинах его возникновения не позднее, чем через 3 (Три) календарных дня после наступления этого события, и также в максимально короткий срок сообщить о восстановлении нормальных условий.</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r>
    </w:p>
    <w:p>
      <w:pPr>
        <w:pStyle w:val="ListParagraph1"/>
        <w:widowControl w:val="false"/>
        <w:numPr>
          <w:ilvl w:val="0"/>
          <w:numId w:val="3"/>
        </w:numPr>
        <w:spacing w:lineRule="auto" w:line="252" w:before="0" w:after="0"/>
        <w:ind w:hanging="360" w:left="1069" w:right="0"/>
        <w:contextualSpacing/>
        <w:jc w:val="center"/>
        <w:outlineLvl w:val="1"/>
        <w:rPr>
          <w:rFonts w:ascii="Times New Roman" w:hAnsi="Times New Roman"/>
          <w:b/>
        </w:rPr>
      </w:pPr>
      <w:r>
        <w:rPr>
          <w:rFonts w:ascii="Times New Roman" w:hAnsi="Times New Roman"/>
          <w:b/>
        </w:rPr>
        <w:t>СРОК ДЕЙСТВИЯ КОНТРАКТА</w:t>
      </w:r>
    </w:p>
    <w:p>
      <w:pPr>
        <w:pStyle w:val="ListParagraph1"/>
        <w:widowControl w:val="false"/>
        <w:numPr>
          <w:ilvl w:val="0"/>
          <w:numId w:val="0"/>
        </w:numPr>
        <w:spacing w:lineRule="auto" w:line="252" w:before="0" w:after="0"/>
        <w:ind w:hanging="0" w:left="1069" w:right="0"/>
        <w:contextualSpacing/>
        <w:outlineLvl w:val="1"/>
        <w:rPr>
          <w:rFonts w:ascii="Times New Roman" w:hAnsi="Times New Roman"/>
          <w:b/>
        </w:rPr>
      </w:pPr>
      <w:r>
        <w:rPr>
          <w:rFonts w:ascii="Times New Roman" w:hAnsi="Times New Roman"/>
          <w:b/>
        </w:rPr>
      </w:r>
    </w:p>
    <w:p>
      <w:pPr>
        <w:pStyle w:val="Normal"/>
        <w:widowControl w:val="false"/>
        <w:tabs>
          <w:tab w:val="clear" w:pos="708"/>
          <w:tab w:val="left" w:pos="1560" w:leader="none"/>
        </w:tabs>
        <w:spacing w:lineRule="auto" w:line="252" w:before="0" w:after="0"/>
        <w:ind w:firstLine="709" w:left="0" w:right="0"/>
        <w:jc w:val="both"/>
        <w:rPr>
          <w:rFonts w:ascii="Times New Roman" w:hAnsi="Times New Roman"/>
        </w:rPr>
      </w:pPr>
      <w:r>
        <w:rPr>
          <w:rFonts w:ascii="Times New Roman" w:hAnsi="Times New Roman"/>
        </w:rPr>
        <w:t>11.1. Контракт вступает в силу с даты его заключения и действует до 22 марта 2027 года. Срок действия Контракта учитывает и включает в себя срок оказания Услуг, сроки необходимые на приемку и оплату Услуг предусмотренных Контрактом, а также срок возможного возврата разницы между выплаченным авансом и стоимостью фактически оказанных Услуг за декабрь 2026 года.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11.2. Обязательства Сторон, не исполненные до даты истечения срока действия Контракта, указанного в пункте 11.1 Контракта, подлежат исполнению в полном объеме.</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r>
    </w:p>
    <w:p>
      <w:pPr>
        <w:pStyle w:val="ListParagraph1"/>
        <w:widowControl w:val="false"/>
        <w:numPr>
          <w:ilvl w:val="0"/>
          <w:numId w:val="3"/>
        </w:numPr>
        <w:spacing w:lineRule="auto" w:line="252" w:before="0" w:after="0"/>
        <w:ind w:hanging="360" w:left="1069" w:right="0"/>
        <w:contextualSpacing/>
        <w:jc w:val="center"/>
        <w:rPr>
          <w:rFonts w:ascii="Times New Roman" w:hAnsi="Times New Roman"/>
          <w:b/>
        </w:rPr>
      </w:pPr>
      <w:r>
        <w:rPr>
          <w:rFonts w:ascii="Times New Roman" w:hAnsi="Times New Roman"/>
          <w:b/>
        </w:rPr>
        <w:t>ЗАКЛЮЧИТЕЛЬНЫЕ ПОЛОЖЕНИЯ</w:t>
      </w:r>
    </w:p>
    <w:p>
      <w:pPr>
        <w:pStyle w:val="ListParagraph1"/>
        <w:widowControl w:val="false"/>
        <w:spacing w:lineRule="auto" w:line="252" w:before="0" w:after="0"/>
        <w:ind w:hanging="0" w:left="1069" w:right="0"/>
        <w:contextualSpacing/>
        <w:rPr>
          <w:rFonts w:ascii="Times New Roman" w:hAnsi="Times New Roman"/>
          <w:b/>
        </w:rPr>
      </w:pPr>
      <w:r>
        <w:rPr>
          <w:rFonts w:ascii="Times New Roman" w:hAnsi="Times New Roman"/>
          <w:b/>
        </w:rPr>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12.1. Все приложения к Контракту, указанные в разделе 13 Контракта, являются его неотъемлемой частью.</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12.2. Вся относящаяся к Контракту переписка и другая документация, которой обмениваются Стороны, должны быть составлены и подписаны на русском языке. При предоставлении информации, в том числе технической, на иностранных языках к ней должен прилагаться перевод, который при наличии расхождений между ним и предоставленной информацией будет иметь преимущественную юридическую силу, при условии ответственности представившей данные документы Стороны за аутентичность перевода.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12.3. При изменении почтового адреса, адреса места нахождения, банковских реквизитов, а также </w:t>
        <w:br/>
        <w:t xml:space="preserve">в случае реорганизации Стороны обязаны незамедлительно уведомить об этом друг друга. В случае если Исполнитель не уведомил Заказчика об изменении его банковских реквизитов, риски, связанные </w:t>
        <w:br/>
        <w:t>с перечислением Заказчиком денежных средств на указанный в Контракте счет Исполнителя, несет Исполнитель.</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12.4. Контракт составлен в форме электронного документа, подписанного усиленными квалифицированными электронными подписями представителей Сторон.</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12.5. Стороны договорились, что обмен информацией и документами, касающимися заключения, изменения, исполнения и расторжения (за исключением расторжения Контракта в одностороннем порядке)  Контракта (в том числе направление отчетных документов, подписание дополнительных соглашений </w:t>
        <w:br/>
        <w:t>к Контракту, актов сверки взаимных расчетов и иных документов), осуществляется в форме электронных документов, подписанных усиленной квалифицированной электронной подписью.</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Обмен электронными документами осуществляется посредством ЕИС, для чего Стороны обеспечивают в ЕИС, регистрацию лиц, уполномоченных на организацию и осуществление электронного документооборота в рамках исполнения Контракта.</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Подписание электронного документа усиленной квалифицированной электронной подписью уполномоченного лица Стороны посредством ЕИС, означает, что такие документы и содержащиеся в них сведения, поданные в электронной форме:</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направлены от имени данной Стороны;</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являются подлинными и достоверными;</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признаются равнозначными документам на бумажном носителе, подписанным собственноручной подписью.</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В случае отсутствия у Заказчика технической возможности обмена информацией и документами </w:t>
        <w:br/>
        <w:t xml:space="preserve">в порядке, определенном в абзацах 1-3 настоящего пункта, Заказчик уведомляет об этом Исполнителя. Указанное уведомление может содержать порядок предоставления Исполнителем Заказчику документов </w:t>
        <w:br/>
        <w:t>и информации на бумажных носителях, обязательный для Исполнителя с даты получения такого уведомления.</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 xml:space="preserve">При появлении у Заказчика технической возможности обмена информацией и документами </w:t>
        <w:br/>
        <w:t>в порядке, определенном в абзацах 1-3 настоящего пункта, Заказчик уведомляет об этом Исполнителя.</w:t>
      </w:r>
    </w:p>
    <w:p>
      <w:pPr>
        <w:pStyle w:val="Normal"/>
        <w:widowControl w:val="false"/>
        <w:spacing w:lineRule="auto" w:line="252" w:before="0" w:after="0"/>
        <w:ind w:firstLine="709" w:left="0" w:right="0"/>
        <w:jc w:val="both"/>
        <w:rPr>
          <w:rFonts w:ascii="Times New Roman" w:hAnsi="Times New Roman"/>
        </w:rPr>
      </w:pPr>
      <w:r>
        <w:rPr>
          <w:rFonts w:ascii="Times New Roman" w:hAnsi="Times New Roman"/>
        </w:rPr>
        <w:t>12.6. Во всем остальном, что не предусмотрено Контрактом Стороны руководствуются законодательством Российской Федерации.</w:t>
      </w:r>
    </w:p>
    <w:p>
      <w:pPr>
        <w:pStyle w:val="Normal"/>
        <w:widowControl w:val="false"/>
        <w:tabs>
          <w:tab w:val="clear" w:pos="708"/>
          <w:tab w:val="left" w:pos="0" w:leader="none"/>
          <w:tab w:val="left" w:pos="567" w:leader="none"/>
          <w:tab w:val="left" w:pos="720"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lineRule="auto" w:line="252" w:before="0" w:after="0"/>
        <w:rPr>
          <w:rFonts w:ascii="Times New Roman" w:hAnsi="Times New Roman"/>
          <w:b/>
        </w:rPr>
      </w:pPr>
      <w:r>
        <w:rPr>
          <w:rFonts w:ascii="Times New Roman" w:hAnsi="Times New Roman"/>
          <w:b/>
        </w:rPr>
      </w:r>
    </w:p>
    <w:p>
      <w:pPr>
        <w:pStyle w:val="ListParagraph1"/>
        <w:widowControl w:val="false"/>
        <w:numPr>
          <w:ilvl w:val="0"/>
          <w:numId w:val="3"/>
        </w:numPr>
        <w:tabs>
          <w:tab w:val="clear" w:pos="708"/>
          <w:tab w:val="left" w:pos="0" w:leader="none"/>
          <w:tab w:val="left" w:pos="567" w:leader="none"/>
          <w:tab w:val="left" w:pos="720"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lineRule="auto" w:line="252" w:before="0" w:after="0"/>
        <w:ind w:hanging="360" w:left="1069" w:right="0"/>
        <w:contextualSpacing/>
        <w:jc w:val="center"/>
        <w:rPr>
          <w:rFonts w:ascii="Times New Roman" w:hAnsi="Times New Roman"/>
          <w:b/>
        </w:rPr>
      </w:pPr>
      <w:r>
        <w:rPr>
          <w:rFonts w:ascii="Times New Roman" w:hAnsi="Times New Roman"/>
          <w:b/>
        </w:rPr>
        <w:t>ПЕРЕЧЕНЬ ПРИЛОЖЕНИЙ</w:t>
      </w:r>
    </w:p>
    <w:p>
      <w:pPr>
        <w:pStyle w:val="Normal"/>
        <w:widowControl w:val="false"/>
        <w:tabs>
          <w:tab w:val="clear" w:pos="708"/>
          <w:tab w:val="left" w:pos="0" w:leader="none"/>
          <w:tab w:val="left" w:pos="54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lineRule="auto" w:line="252" w:before="0" w:after="0"/>
        <w:ind w:firstLine="709" w:left="0" w:right="0"/>
        <w:jc w:val="both"/>
        <w:rPr>
          <w:rFonts w:ascii="Times New Roman" w:hAnsi="Times New Roman"/>
        </w:rPr>
      </w:pPr>
      <w:r>
        <w:rPr>
          <w:rFonts w:ascii="Times New Roman" w:hAnsi="Times New Roman"/>
        </w:rPr>
        <w:t xml:space="preserve">13.1. </w:t>
      </w:r>
      <w:r>
        <w:rPr>
          <w:rFonts w:ascii="Times New Roman" w:hAnsi="Times New Roman"/>
          <w:b/>
        </w:rPr>
        <w:t>Приложение № 1</w:t>
      </w:r>
      <w:r>
        <w:rPr>
          <w:rFonts w:ascii="Times New Roman" w:hAnsi="Times New Roman"/>
        </w:rPr>
        <w:t xml:space="preserve"> – Техническое </w:t>
      </w:r>
      <w:r>
        <w:rPr>
          <w:rFonts w:ascii="Times New Roman" w:hAnsi="Times New Roman"/>
          <w:color w:themeColor="text1" w:val="000000"/>
        </w:rPr>
        <w:t>задание</w:t>
      </w:r>
      <w:r>
        <w:rPr>
          <w:rFonts w:ascii="Times New Roman" w:hAnsi="Times New Roman"/>
        </w:rPr>
        <w:t>.</w:t>
      </w:r>
    </w:p>
    <w:p>
      <w:pPr>
        <w:pStyle w:val="Normal"/>
        <w:widowControl w:val="false"/>
        <w:tabs>
          <w:tab w:val="clear" w:pos="708"/>
          <w:tab w:val="left" w:pos="0" w:leader="none"/>
          <w:tab w:val="left" w:pos="54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lineRule="auto" w:line="252" w:before="0" w:after="0"/>
        <w:ind w:firstLine="709" w:left="0" w:right="0"/>
        <w:jc w:val="both"/>
        <w:rPr>
          <w:rFonts w:ascii="Times New Roman" w:hAnsi="Times New Roman"/>
        </w:rPr>
      </w:pPr>
      <w:r>
        <w:rPr>
          <w:rFonts w:ascii="Times New Roman" w:hAnsi="Times New Roman"/>
        </w:rPr>
        <w:t xml:space="preserve">13.2. </w:t>
      </w:r>
      <w:r>
        <w:rPr>
          <w:rFonts w:ascii="Times New Roman" w:hAnsi="Times New Roman"/>
          <w:b/>
        </w:rPr>
        <w:t>Приложение № 2</w:t>
      </w:r>
      <w:r>
        <w:rPr>
          <w:rFonts w:ascii="Times New Roman" w:hAnsi="Times New Roman"/>
        </w:rPr>
        <w:t xml:space="preserve"> – Цены единиц Услуг.</w:t>
      </w:r>
    </w:p>
    <w:p>
      <w:pPr>
        <w:pStyle w:val="Normal"/>
        <w:keepLines/>
        <w:widowControl w:val="false"/>
        <w:tabs>
          <w:tab w:val="clear" w:pos="708"/>
          <w:tab w:val="left" w:pos="426" w:leader="none"/>
        </w:tabs>
        <w:spacing w:lineRule="auto" w:line="252" w:before="0" w:after="0"/>
        <w:ind w:firstLine="709" w:left="0" w:right="0"/>
        <w:jc w:val="center"/>
        <w:rPr>
          <w:rFonts w:ascii="Times New Roman" w:hAnsi="Times New Roman"/>
          <w:b/>
        </w:rPr>
      </w:pPr>
      <w:r>
        <w:rPr>
          <w:rFonts w:ascii="Times New Roman" w:hAnsi="Times New Roman"/>
          <w:b/>
        </w:rPr>
        <w:t>14. АДРЕСА И БАНКОВСКИЕ РЕКВИЗИТЫ СТОРОН</w:t>
      </w:r>
    </w:p>
    <w:p>
      <w:pPr>
        <w:pStyle w:val="Normal"/>
        <w:keepLines/>
        <w:widowControl w:val="false"/>
        <w:tabs>
          <w:tab w:val="clear" w:pos="708"/>
          <w:tab w:val="left" w:pos="426" w:leader="none"/>
        </w:tabs>
        <w:spacing w:lineRule="auto" w:line="252" w:before="0" w:after="0"/>
        <w:ind w:firstLine="709" w:left="0" w:right="0"/>
        <w:jc w:val="center"/>
        <w:rPr>
          <w:rFonts w:ascii="Times New Roman" w:hAnsi="Times New Roman"/>
          <w:b/>
        </w:rPr>
      </w:pPr>
      <w:r>
        <w:rPr>
          <w:rFonts w:ascii="Times New Roman" w:hAnsi="Times New Roman"/>
          <w:b/>
        </w:rPr>
      </w:r>
    </w:p>
    <w:tbl>
      <w:tblPr>
        <w:tblStyle w:val="Style_7"/>
        <w:tblW w:w="10161" w:type="dxa"/>
        <w:jc w:val="left"/>
        <w:tblInd w:w="0" w:type="dxa"/>
        <w:tblLayout w:type="fixed"/>
        <w:tblCellMar>
          <w:top w:w="0" w:type="dxa"/>
          <w:left w:w="108" w:type="dxa"/>
          <w:bottom w:w="0" w:type="dxa"/>
          <w:right w:w="108" w:type="dxa"/>
        </w:tblCellMar>
      </w:tblPr>
      <w:tblGrid>
        <w:gridCol w:w="4961"/>
        <w:gridCol w:w="284"/>
        <w:gridCol w:w="4916"/>
      </w:tblGrid>
      <w:tr>
        <w:trPr>
          <w:trHeight w:val="426" w:hRule="atLeast"/>
        </w:trPr>
        <w:tc>
          <w:tcPr>
            <w:tcW w:w="496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hanging="0" w:left="0" w:right="0"/>
              <w:jc w:val="both"/>
              <w:rPr>
                <w:rFonts w:ascii="Times New Roman" w:hAnsi="Times New Roman"/>
                <w:b/>
                <w:sz w:val="22"/>
              </w:rPr>
            </w:pPr>
            <w:r>
              <w:rPr>
                <w:rFonts w:ascii="Times New Roman" w:hAnsi="Times New Roman"/>
                <w:b/>
                <w:color w:val="000000"/>
                <w:spacing w:val="0"/>
                <w:kern w:val="0"/>
                <w:sz w:val="22"/>
                <w:szCs w:val="20"/>
              </w:rPr>
              <w:t xml:space="preserve">Департамент образования и спорта Ненецкого автономного округа </w:t>
            </w:r>
          </w:p>
          <w:p>
            <w:pPr>
              <w:pStyle w:val="Normal"/>
              <w:widowControl/>
              <w:spacing w:lineRule="auto" w:line="240" w:before="0" w:after="0"/>
              <w:ind w:hanging="0" w:left="0" w:right="0"/>
              <w:jc w:val="both"/>
              <w:rPr>
                <w:rFonts w:ascii="Times New Roman" w:hAnsi="Times New Roman"/>
                <w:b/>
                <w:sz w:val="22"/>
              </w:rPr>
            </w:pPr>
            <w:r>
              <w:rPr>
                <w:rFonts w:ascii="Times New Roman" w:hAnsi="Times New Roman"/>
                <w:b/>
                <w:color w:val="000000"/>
                <w:spacing w:val="0"/>
                <w:kern w:val="0"/>
                <w:sz w:val="22"/>
                <w:szCs w:val="20"/>
              </w:rPr>
              <w:t>Сокращенное наименование: ДОС НАО</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Юридический/почтовый адрес: 166000, НАО, г.Нарьян-Мар, ул. Ленина, д.23А</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ИНН 8300130069 КПП 298301001</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Департамент финансов и экономики Ненецкого автономного округа (Департамент образования, и спорта Ненецкого автономного округа, л.сч. 03842001060</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ЕКС 40102810045370000087</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Банк:</w:t>
            </w:r>
            <w:r>
              <w:rPr>
                <w:rFonts w:ascii="Times New Roman" w:hAnsi="Times New Roman"/>
                <w:color w:val="000000"/>
                <w:spacing w:val="0"/>
                <w:kern w:val="0"/>
                <w:sz w:val="22"/>
                <w:szCs w:val="20"/>
              </w:rPr>
              <w:t xml:space="preserve"> </w:t>
            </w:r>
            <w:r>
              <w:rPr>
                <w:rFonts w:ascii="Times New Roman" w:hAnsi="Times New Roman"/>
                <w:b w:val="false"/>
                <w:i w:val="false"/>
                <w:caps w:val="false"/>
                <w:smallCaps w:val="false"/>
                <w:color w:val="000000"/>
                <w:spacing w:val="0"/>
                <w:kern w:val="0"/>
                <w:sz w:val="22"/>
                <w:szCs w:val="20"/>
                <w:highlight w:val="white"/>
              </w:rPr>
              <w:t>ОКЦ № 2 СЗГУ Банка России</w:t>
            </w:r>
            <w:r>
              <w:rPr>
                <w:rFonts w:ascii="Times New Roman" w:hAnsi="Times New Roman"/>
                <w:color w:val="000000"/>
                <w:spacing w:val="0"/>
                <w:kern w:val="0"/>
                <w:sz w:val="22"/>
                <w:szCs w:val="20"/>
              </w:rPr>
              <w:t>//УФК по Архангельской области и Ненецкому автономному округу</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БИК 011117401</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КС 03221643118000008400</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Телефоны: 8 81853 21187</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 xml:space="preserve">Email: </w:t>
            </w:r>
            <w:hyperlink r:id="rId5">
              <w:r>
                <w:rPr>
                  <w:rStyle w:val="ListLabel47"/>
                  <w:rFonts w:ascii="Times New Roman" w:hAnsi="Times New Roman"/>
                  <w:color w:val="000000"/>
                  <w:spacing w:val="0"/>
                  <w:kern w:val="0"/>
                  <w:sz w:val="22"/>
                  <w:szCs w:val="20"/>
                  <w:u w:val="none"/>
                </w:rPr>
                <w:t>dos@adm-nao.ru</w:t>
              </w:r>
            </w:hyperlink>
          </w:p>
          <w:p>
            <w:pPr>
              <w:pStyle w:val="Normal"/>
              <w:widowControl/>
              <w:spacing w:lineRule="auto" w:line="240" w:before="0" w:after="0"/>
              <w:ind w:hanging="0" w:left="0" w:right="0"/>
              <w:jc w:val="left"/>
              <w:rPr>
                <w:rFonts w:ascii="Times New Roman" w:hAnsi="Times New Roman"/>
                <w:sz w:val="22"/>
              </w:rPr>
            </w:pPr>
            <w:r>
              <w:rPr>
                <w:rFonts w:ascii="Times New Roman" w:hAnsi="Times New Roman"/>
                <w:color w:val="000000"/>
                <w:spacing w:val="0"/>
                <w:kern w:val="0"/>
                <w:sz w:val="22"/>
                <w:szCs w:val="20"/>
              </w:rPr>
            </w:r>
          </w:p>
          <w:p>
            <w:pPr>
              <w:pStyle w:val="Normal"/>
              <w:widowControl/>
              <w:spacing w:lineRule="auto" w:line="240" w:before="0" w:after="0"/>
              <w:ind w:hanging="0" w:left="0" w:right="0"/>
              <w:jc w:val="left"/>
              <w:rPr>
                <w:rFonts w:ascii="Times New Roman" w:hAnsi="Times New Roman"/>
                <w:sz w:val="22"/>
              </w:rPr>
            </w:pPr>
            <w:r>
              <w:rPr>
                <w:rFonts w:ascii="Times New Roman" w:hAnsi="Times New Roman"/>
                <w:color w:val="000000"/>
                <w:spacing w:val="0"/>
                <w:kern w:val="0"/>
                <w:sz w:val="22"/>
                <w:szCs w:val="20"/>
              </w:rPr>
            </w:r>
          </w:p>
          <w:p>
            <w:pPr>
              <w:pStyle w:val="Normal"/>
              <w:widowControl/>
              <w:spacing w:lineRule="auto" w:line="240" w:before="0" w:after="0"/>
              <w:ind w:hanging="0" w:left="0" w:right="0"/>
              <w:jc w:val="left"/>
              <w:rPr>
                <w:rFonts w:ascii="Times New Roman" w:hAnsi="Times New Roman"/>
                <w:sz w:val="22"/>
              </w:rPr>
            </w:pPr>
            <w:r>
              <w:rPr>
                <w:rFonts w:ascii="Times New Roman" w:hAnsi="Times New Roman"/>
                <w:color w:val="000000"/>
                <w:spacing w:val="0"/>
                <w:kern w:val="0"/>
                <w:sz w:val="22"/>
                <w:szCs w:val="20"/>
              </w:rPr>
              <w:t>Заместитель губернатора</w:t>
              <w:br/>
              <w:t xml:space="preserve"> Ненецкого автономного округа – </w:t>
            </w:r>
          </w:p>
          <w:p>
            <w:pPr>
              <w:pStyle w:val="Normal"/>
              <w:widowControl/>
              <w:spacing w:lineRule="auto" w:line="240" w:before="0" w:after="0"/>
              <w:ind w:hanging="0" w:left="0" w:right="0"/>
              <w:jc w:val="left"/>
              <w:rPr>
                <w:rFonts w:ascii="Times New Roman" w:hAnsi="Times New Roman"/>
                <w:sz w:val="22"/>
              </w:rPr>
            </w:pPr>
            <w:r>
              <w:rPr>
                <w:rFonts w:ascii="Times New Roman" w:hAnsi="Times New Roman"/>
                <w:color w:val="000000"/>
                <w:spacing w:val="0"/>
                <w:kern w:val="0"/>
                <w:sz w:val="22"/>
                <w:szCs w:val="20"/>
              </w:rPr>
              <w:t>руководитель Департамента образования и спорта Ненецкого автономного округа</w:t>
            </w:r>
          </w:p>
          <w:p>
            <w:pPr>
              <w:pStyle w:val="Normal"/>
              <w:widowControl/>
              <w:spacing w:lineRule="auto" w:line="240" w:before="0" w:after="0"/>
              <w:ind w:hanging="0" w:left="0" w:right="0"/>
              <w:jc w:val="left"/>
              <w:rPr>
                <w:rFonts w:ascii="Times New Roman" w:hAnsi="Times New Roman"/>
                <w:sz w:val="22"/>
              </w:rPr>
            </w:pPr>
            <w:r>
              <w:rPr>
                <w:rFonts w:ascii="Times New Roman" w:hAnsi="Times New Roman"/>
                <w:color w:val="000000"/>
                <w:spacing w:val="0"/>
                <w:kern w:val="0"/>
                <w:sz w:val="22"/>
                <w:szCs w:val="20"/>
              </w:rPr>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t>__________________ А.А. Барабас</w:t>
            </w:r>
          </w:p>
          <w:p>
            <w:pPr>
              <w:pStyle w:val="Normal"/>
              <w:widowControl/>
              <w:spacing w:lineRule="auto" w:line="240" w:before="0" w:after="0"/>
              <w:ind w:hanging="0" w:left="0" w:right="0"/>
              <w:jc w:val="both"/>
              <w:rPr>
                <w:rFonts w:ascii="Times New Roman" w:hAnsi="Times New Roman"/>
                <w:sz w:val="22"/>
              </w:rPr>
            </w:pPr>
            <w:r>
              <w:rPr>
                <w:rFonts w:ascii="Times New Roman" w:hAnsi="Times New Roman"/>
                <w:color w:val="000000"/>
                <w:spacing w:val="0"/>
                <w:kern w:val="0"/>
                <w:sz w:val="22"/>
                <w:szCs w:val="20"/>
              </w:rPr>
            </w:r>
          </w:p>
        </w:tc>
        <w:tc>
          <w:tcPr>
            <w:tcW w:w="284" w:type="dxa"/>
            <w:tcBorders/>
          </w:tcPr>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sz w:val="22"/>
              </w:rPr>
            </w:pPr>
            <w:r>
              <w:rPr>
                <w:rFonts w:ascii="Times New Roman" w:hAnsi="Times New Roman"/>
                <w:b/>
                <w:color w:val="000000"/>
                <w:spacing w:val="0"/>
                <w:kern w:val="0"/>
                <w:sz w:val="22"/>
                <w:szCs w:val="20"/>
              </w:rPr>
            </w:r>
          </w:p>
        </w:tc>
        <w:tc>
          <w:tcPr>
            <w:tcW w:w="4916" w:type="dxa"/>
            <w:tcBorders>
              <w:top w:val="single" w:sz="6" w:space="0" w:color="000000"/>
              <w:left w:val="single" w:sz="6" w:space="0" w:color="000000"/>
              <w:bottom w:val="single" w:sz="6" w:space="0" w:color="000000"/>
              <w:right w:val="single" w:sz="6" w:space="0" w:color="000000"/>
            </w:tcBorders>
          </w:tcPr>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sz w:val="22"/>
              </w:rPr>
            </w:pPr>
            <w:r>
              <w:rPr>
                <w:rFonts w:ascii="Times New Roman" w:hAnsi="Times New Roman"/>
                <w:b/>
                <w:color w:val="000000"/>
                <w:spacing w:val="0"/>
                <w:kern w:val="0"/>
                <w:sz w:val="22"/>
                <w:szCs w:val="20"/>
              </w:rPr>
              <w:t>ИСПОЛНИТЕЛЬ:</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sz w:val="22"/>
              </w:rPr>
            </w:pPr>
            <w:r>
              <w:rPr>
                <w:rFonts w:ascii="Times New Roman" w:hAnsi="Times New Roman"/>
                <w:b/>
                <w:color w:val="000000"/>
                <w:spacing w:val="0"/>
                <w:kern w:val="0"/>
                <w:sz w:val="22"/>
                <w:szCs w:val="20"/>
              </w:rPr>
              <w:t>Публичное акционерное общество «Ростелеком» (сокращенное наименование - ПАО «Ростелеком»)</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Юридический адрес: 191167, Г.САНКТ-ПЕТЕРБУРГ, ВН.ТЕР.Г. МУНИЦИПАЛЬНЫЙ ОКРУГ СМОЛЬНИНСКОЕ, НАБ СИНОПСКАЯ, Д. 14</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ЛИТЕРА А</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ИНН: 7707049388/КПП: 784201001</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ОГРН: 1027700198767</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Исполнителем Договора является обособленное подразделение:</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Архангельский филиал ПАО «Ростелеком»</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Почтовый адрес: 163000, Россия, Архангельская область, г. Архангельск, пр. Ломоносова, д. 144</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ИНН: 7707049388 / КПП: 290143001</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Банковские реквизиты:</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р/с:  40702810804010101677</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в: АРХАНГЕЛЬСКОЕ ОТДЕЛЕНИЕ № 8637 ПАО СБЕРБАНК</w:t>
            </w:r>
          </w:p>
          <w:p>
            <w:pPr>
              <w:pStyle w:val="Normal"/>
              <w:keepLines/>
              <w:widowControl w:val="false"/>
              <w:tabs>
                <w:tab w:val="clear" w:pos="708"/>
                <w:tab w:val="left" w:pos="567" w:leader="none"/>
              </w:tabs>
              <w:spacing w:lineRule="auto" w:line="252" w:before="0" w:after="0"/>
              <w:ind w:hanging="0" w:left="0" w:right="0"/>
              <w:jc w:val="both"/>
              <w:rPr>
                <w:rFonts w:ascii="Times New Roman" w:hAnsi="Times New Roman"/>
                <w:b w:val="false"/>
                <w:sz w:val="22"/>
              </w:rPr>
            </w:pPr>
            <w:r>
              <w:rPr>
                <w:rFonts w:ascii="Times New Roman" w:hAnsi="Times New Roman"/>
                <w:b w:val="false"/>
                <w:color w:val="000000"/>
                <w:spacing w:val="0"/>
                <w:kern w:val="0"/>
                <w:sz w:val="22"/>
                <w:szCs w:val="20"/>
              </w:rPr>
              <w:t>к/с:   30101810100000000601</w:t>
            </w:r>
          </w:p>
          <w:p>
            <w:pPr>
              <w:pStyle w:val="Standard2"/>
              <w:keepNext w:val="true"/>
              <w:widowControl/>
              <w:tabs>
                <w:tab w:val="clear" w:pos="708"/>
                <w:tab w:val="left" w:pos="873" w:leader="none"/>
              </w:tabs>
              <w:spacing w:lineRule="auto" w:line="252" w:before="0" w:after="0"/>
              <w:ind w:hanging="0" w:left="0" w:right="128"/>
              <w:jc w:val="left"/>
              <w:rPr>
                <w:rFonts w:ascii="Times New Roman" w:hAnsi="Times New Roman"/>
                <w:b w:val="false"/>
                <w:sz w:val="22"/>
              </w:rPr>
            </w:pPr>
            <w:r>
              <w:rPr>
                <w:rFonts w:ascii="Times New Roman" w:hAnsi="Times New Roman"/>
                <w:b w:val="false"/>
                <w:color w:val="000000"/>
                <w:spacing w:val="0"/>
                <w:kern w:val="0"/>
                <w:sz w:val="22"/>
                <w:szCs w:val="20"/>
              </w:rPr>
              <w:t>БИК: 041117601</w:t>
            </w:r>
          </w:p>
          <w:p>
            <w:pPr>
              <w:pStyle w:val="Standard2"/>
              <w:keepNext w:val="true"/>
              <w:widowControl/>
              <w:tabs>
                <w:tab w:val="clear" w:pos="708"/>
                <w:tab w:val="left" w:pos="873" w:leader="none"/>
              </w:tabs>
              <w:spacing w:lineRule="auto" w:line="252" w:before="0" w:after="0"/>
              <w:ind w:hanging="0" w:left="0" w:right="128"/>
              <w:jc w:val="left"/>
              <w:rPr>
                <w:rFonts w:ascii="Times New Roman" w:hAnsi="Times New Roman"/>
                <w:b w:val="false"/>
                <w:sz w:val="22"/>
              </w:rPr>
            </w:pPr>
            <w:r>
              <w:rPr>
                <w:rFonts w:ascii="Times New Roman" w:hAnsi="Times New Roman"/>
                <w:b w:val="false"/>
                <w:color w:val="000000"/>
                <w:spacing w:val="0"/>
                <w:kern w:val="0"/>
                <w:sz w:val="22"/>
                <w:szCs w:val="20"/>
              </w:rPr>
            </w:r>
          </w:p>
          <w:p>
            <w:pPr>
              <w:pStyle w:val="Normal"/>
              <w:keepLines/>
              <w:widowControl w:val="false"/>
              <w:spacing w:lineRule="auto" w:line="252" w:before="0" w:after="0"/>
              <w:ind w:hanging="0" w:left="0" w:right="0"/>
              <w:jc w:val="left"/>
              <w:rPr>
                <w:rFonts w:ascii="Times New Roman" w:hAnsi="Times New Roman"/>
                <w:sz w:val="22"/>
              </w:rPr>
            </w:pPr>
            <w:r>
              <w:rPr>
                <w:rFonts w:ascii="Times New Roman" w:hAnsi="Times New Roman"/>
                <w:color w:val="000000"/>
                <w:spacing w:val="0"/>
                <w:kern w:val="0"/>
                <w:sz w:val="22"/>
                <w:szCs w:val="20"/>
              </w:rPr>
              <w:t>_____________________Шишкин К.А.</w:t>
            </w:r>
          </w:p>
        </w:tc>
      </w:tr>
    </w:tbl>
    <w:p>
      <w:pPr>
        <w:pStyle w:val="Normal"/>
        <w:widowControl w:val="false"/>
        <w:spacing w:lineRule="auto" w:line="252" w:before="0" w:after="0"/>
        <w:rPr>
          <w:rFonts w:ascii="Times New Roman" w:hAnsi="Times New Roman"/>
        </w:rPr>
      </w:pPr>
      <w:r>
        <w:rPr>
          <w:rFonts w:ascii="Times New Roman" w:hAnsi="Times New Roman"/>
        </w:rPr>
      </w:r>
    </w:p>
    <w:sectPr>
      <w:headerReference w:type="default" r:id="rId6"/>
      <w:footerReference w:type="default" r:id="rId7"/>
      <w:type w:val="nextPage"/>
      <w:pgSz w:w="11906" w:h="16838"/>
      <w:pgMar w:left="1134" w:right="567" w:gutter="0" w:header="709" w:top="1134" w:footer="227" w:bottom="993"/>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Times New Roman">
    <w:charset w:val="01"/>
    <w:family w:val="roman"/>
    <w:pitch w:val="default"/>
  </w:font>
  <w:font w:name="XO Thames">
    <w:charset w:val="01"/>
    <w:family w:val="roman"/>
    <w:pitch w:val="default"/>
  </w:font>
  <w:font w:name="Arial">
    <w:charset w:val="01"/>
    <w:family w:val="roman"/>
    <w:pitch w:val="default"/>
  </w:font>
  <w:font w:name="Tahoma">
    <w:charset w:val="01"/>
    <w:family w:val="roman"/>
    <w:pitch w:val="default"/>
  </w:font>
  <w:font w:name="PT Astra Serif">
    <w:charset w:val="01"/>
    <w:family w:val="roman"/>
    <w:pitch w:val="default"/>
  </w:font>
  <w:font w:name="Roboto">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jc w:val="cen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jc w:val="center"/>
      <w:rPr/>
    </w:pPr>
    <w:r>
      <w:rPr/>
      <w:fldChar w:fldCharType="begin"/>
    </w:r>
    <w:r>
      <w:rPr/>
      <w:instrText xml:space="preserve"> PAGE </w:instrText>
    </w:r>
    <w:r>
      <w:rPr/>
      <w:fldChar w:fldCharType="separate"/>
    </w:r>
    <w:r>
      <w:rPr/>
      <w:t>10</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1069" w:hanging="360"/>
      </w:pPr>
      <w:rPr/>
    </w:lvl>
    <w:lvl w:ilvl="1">
      <w:start w:val="2"/>
      <w:numFmt w:val="decimal"/>
      <w:lvlText w:val="%1.%2."/>
      <w:lvlJc w:val="left"/>
      <w:pPr>
        <w:tabs>
          <w:tab w:val="num" w:pos="0"/>
        </w:tabs>
        <w:ind w:left="1354" w:hanging="645"/>
      </w:pPr>
      <w:rPr/>
    </w:lvl>
    <w:lvl w:ilvl="2">
      <w:start w:val="10"/>
      <w:numFmt w:val="decimal"/>
      <w:lvlText w:val="%1.%2.%3."/>
      <w:lvlJc w:val="left"/>
      <w:pPr>
        <w:tabs>
          <w:tab w:val="num" w:pos="0"/>
        </w:tabs>
        <w:ind w:left="1429" w:hanging="720"/>
      </w:pPr>
      <w:rPr/>
    </w:lvl>
    <w:lvl w:ilvl="3">
      <w:start w:val="1"/>
      <w:numFmt w:val="decimal"/>
      <w:lvlText w:val="%1.%2.%3.%4."/>
      <w:lvlJc w:val="left"/>
      <w:pPr>
        <w:tabs>
          <w:tab w:val="num" w:pos="0"/>
        </w:tabs>
        <w:ind w:left="1429" w:hanging="720"/>
      </w:pPr>
      <w:rPr/>
    </w:lvl>
    <w:lvl w:ilvl="4">
      <w:start w:val="1"/>
      <w:numFmt w:val="decimal"/>
      <w:lvlText w:val="%1.%2.%3.%4.%5."/>
      <w:lvlJc w:val="left"/>
      <w:pPr>
        <w:tabs>
          <w:tab w:val="num" w:pos="0"/>
        </w:tabs>
        <w:ind w:left="1789" w:hanging="1080"/>
      </w:pPr>
      <w:rPr/>
    </w:lvl>
    <w:lvl w:ilvl="5">
      <w:start w:val="1"/>
      <w:numFmt w:val="decimal"/>
      <w:lvlText w:val="%1.%2.%3.%4.%5.%6."/>
      <w:lvlJc w:val="left"/>
      <w:pPr>
        <w:tabs>
          <w:tab w:val="num" w:pos="0"/>
        </w:tabs>
        <w:ind w:left="1789" w:hanging="1080"/>
      </w:pPr>
      <w:rPr/>
    </w:lvl>
    <w:lvl w:ilvl="6">
      <w:start w:val="1"/>
      <w:numFmt w:val="decimal"/>
      <w:lvlText w:val="%1.%2.%3.%4.%5.%6.%7."/>
      <w:lvlJc w:val="left"/>
      <w:pPr>
        <w:tabs>
          <w:tab w:val="num" w:pos="0"/>
        </w:tabs>
        <w:ind w:left="2149" w:hanging="1440"/>
      </w:pPr>
      <w:rPr/>
    </w:lvl>
    <w:lvl w:ilvl="7">
      <w:start w:val="1"/>
      <w:numFmt w:val="decimal"/>
      <w:lvlText w:val="%1.%2.%3.%4.%5.%6.%7.%8."/>
      <w:lvlJc w:val="left"/>
      <w:pPr>
        <w:tabs>
          <w:tab w:val="num" w:pos="0"/>
        </w:tabs>
        <w:ind w:left="2149" w:hanging="1440"/>
      </w:pPr>
      <w:rPr/>
    </w:lvl>
    <w:lvl w:ilvl="8">
      <w:start w:val="1"/>
      <w:numFmt w:val="decimal"/>
      <w:lvlText w:val="%1.%2.%3.%4.%5.%6.%7.%8.%9."/>
      <w:lvlJc w:val="left"/>
      <w:pPr>
        <w:tabs>
          <w:tab w:val="num" w:pos="0"/>
        </w:tabs>
        <w:ind w:left="2509" w:hanging="1800"/>
      </w:pPr>
      <w:rPr/>
    </w:lvl>
  </w:abstractNum>
  <w:abstractNum w:abstractNumId="4">
    <w:lvl w:ilvl="0">
      <w:start w:val="1"/>
      <w:numFmt w:val="decimal"/>
      <w:lvlText w:val="%1."/>
      <w:lvlJc w:val="left"/>
      <w:pPr>
        <w:tabs>
          <w:tab w:val="num" w:pos="360"/>
        </w:tabs>
        <w:ind w:left="360" w:hanging="360"/>
      </w:pPr>
      <w:rPr/>
    </w:lvl>
    <w:lvl w:ilvl="1">
      <w:start w:val="1"/>
      <w:numFmt w:val="decimal"/>
      <w:lvlText w:val="%1.%2."/>
      <w:lvlJc w:val="left"/>
      <w:pPr>
        <w:tabs>
          <w:tab w:val="num" w:pos="1080"/>
        </w:tabs>
        <w:ind w:left="720" w:hanging="360"/>
      </w:pPr>
      <w:rPr/>
    </w:lvl>
    <w:lvl w:ilvl="2">
      <w:start w:val="1"/>
      <w:numFmt w:val="decimal"/>
      <w:lvlText w:val="%1.%2.%3."/>
      <w:lvlJc w:val="left"/>
      <w:pPr>
        <w:tabs>
          <w:tab w:val="num" w:pos="1440"/>
        </w:tabs>
        <w:ind w:left="1080" w:hanging="360"/>
      </w:pPr>
      <w:rPr/>
    </w:lvl>
    <w:lvl w:ilvl="3">
      <w:start w:val="1"/>
      <w:numFmt w:val="decimal"/>
      <w:lvlText w:val="%1.%2.%3.%4."/>
      <w:lvlJc w:val="left"/>
      <w:pPr>
        <w:tabs>
          <w:tab w:val="num" w:pos="2160"/>
        </w:tabs>
        <w:ind w:left="1440" w:hanging="360"/>
      </w:pPr>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5">
    <w:lvl w:ilvl="0">
      <w:start w:val="1"/>
      <w:numFmt w:val="decimal"/>
      <w:suff w:val="space"/>
      <w:lvlText w:val="%1."/>
      <w:lvlJc w:val="left"/>
      <w:pPr>
        <w:tabs>
          <w:tab w:val="num" w:pos="0"/>
        </w:tabs>
        <w:ind w:left="591" w:firstLine="709"/>
      </w:pPr>
      <w:rPr>
        <w:b/>
        <w:rFonts w:ascii="Times New Roman" w:hAnsi="Times New Roman"/>
      </w:rPr>
    </w:lvl>
    <w:lvl w:ilvl="1">
      <w:start w:val="1"/>
      <w:numFmt w:val="decimal"/>
      <w:suff w:val="space"/>
      <w:lvlText w:val="%1.%2."/>
      <w:lvlJc w:val="left"/>
      <w:pPr>
        <w:tabs>
          <w:tab w:val="num" w:pos="0"/>
        </w:tabs>
        <w:ind w:left="142" w:firstLine="709"/>
      </w:pPr>
      <w:rPr>
        <w:b/>
      </w:rPr>
    </w:lvl>
    <w:lvl w:ilvl="2">
      <w:start w:val="1"/>
      <w:numFmt w:val="decimal"/>
      <w:lvlText w:val="%1.%2.%3."/>
      <w:lvlJc w:val="left"/>
      <w:pPr>
        <w:tabs>
          <w:tab w:val="num" w:pos="0"/>
        </w:tabs>
        <w:ind w:left="0" w:firstLine="720"/>
      </w:pPr>
      <w:rPr>
        <w:b w:val="false"/>
        <w:color w:val="000000"/>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Devanagari" w:asciiTheme="minorAsci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bidi w:val="0"/>
      <w:spacing w:lineRule="auto" w:line="276" w:before="0" w:after="200"/>
      <w:ind w:hanging="0" w:left="0" w:right="0"/>
      <w:jc w:val="left"/>
    </w:pPr>
    <w:rPr>
      <w:rFonts w:ascii="Calibri" w:hAnsi="Calibri" w:eastAsia="Tahoma" w:cs="Noto Sans Devanagari" w:asciiTheme="minorAscii" w:hAnsiTheme="minorHAnsi"/>
      <w:color w:val="000000"/>
      <w:spacing w:val="0"/>
      <w:kern w:val="0"/>
      <w:sz w:val="22"/>
      <w:szCs w:val="20"/>
      <w:lang w:val="ru-RU" w:eastAsia="zh-CN" w:bidi="hi-IN"/>
    </w:rPr>
  </w:style>
  <w:style w:type="paragraph" w:styleId="Heading1">
    <w:name w:val="Heading 1"/>
    <w:basedOn w:val="Normal"/>
    <w:next w:val="Normal"/>
    <w:uiPriority w:val="9"/>
    <w:qFormat/>
    <w:pPr>
      <w:keepNext w:val="true"/>
      <w:keepLines/>
      <w:widowControl/>
      <w:spacing w:before="480" w:after="0"/>
      <w:outlineLvl w:val="0"/>
    </w:pPr>
    <w:rPr>
      <w:rFonts w:ascii="Cambria" w:hAnsi="Cambria" w:asciiTheme="majorAscii" w:hAnsiTheme="majorHAnsi"/>
      <w:b/>
      <w:color w:themeColor="accent1" w:themeShade="bf" w:val="376092"/>
      <w:sz w:val="28"/>
    </w:rPr>
  </w:style>
  <w:style w:type="paragraph" w:styleId="Heading2">
    <w:name w:val="Heading 2"/>
    <w:basedOn w:val="Normal"/>
    <w:next w:val="Normal"/>
    <w:uiPriority w:val="9"/>
    <w:qFormat/>
    <w:pPr>
      <w:keepLines/>
      <w:widowControl/>
      <w:numPr>
        <w:ilvl w:val="1"/>
        <w:numId w:val="5"/>
      </w:numPr>
      <w:spacing w:lineRule="auto" w:line="240" w:before="60" w:after="60"/>
      <w:ind w:left="291"/>
      <w:jc w:val="both"/>
      <w:outlineLvl w:val="1"/>
    </w:pPr>
    <w:rPr>
      <w:rFonts w:ascii="Times New Roman" w:hAnsi="Times New Roman"/>
      <w:sz w:val="28"/>
    </w:rPr>
  </w:style>
  <w:style w:type="paragraph" w:styleId="Heading3">
    <w:name w:val="Heading 3"/>
    <w:basedOn w:val="Normal"/>
    <w:next w:val="Normal"/>
    <w:uiPriority w:val="9"/>
    <w:qFormat/>
    <w:pPr>
      <w:keepNext w:val="true"/>
      <w:keepLines/>
      <w:widowControl/>
      <w:spacing w:before="200" w:after="0"/>
      <w:outlineLvl w:val="2"/>
    </w:pPr>
    <w:rPr>
      <w:rFonts w:ascii="Cambria" w:hAnsi="Cambria" w:asciiTheme="majorAscii" w:hAnsiTheme="majorHAnsi"/>
      <w:b/>
      <w:color w:themeColor="accent1" w:val="4F81BD"/>
    </w:rPr>
  </w:style>
  <w:style w:type="paragraph" w:styleId="Heading4">
    <w:name w:val="Heading 4"/>
    <w:next w:val="Normal"/>
    <w:uiPriority w:val="9"/>
    <w:qFormat/>
    <w:pPr>
      <w:widowControl/>
      <w:bidi w:val="0"/>
      <w:spacing w:lineRule="auto" w:line="276" w:before="120" w:after="120"/>
      <w:ind w:hanging="0" w:left="0" w:right="0"/>
      <w:jc w:val="both"/>
      <w:outlineLvl w:val="3"/>
    </w:pPr>
    <w:rPr>
      <w:rFonts w:ascii="XO Thames" w:hAnsi="XO Thames" w:eastAsia="Tahoma" w:cs="Noto Sans Devanagari"/>
      <w:b/>
      <w:color w:val="000000"/>
      <w:spacing w:val="0"/>
      <w:kern w:val="0"/>
      <w:sz w:val="24"/>
      <w:szCs w:val="20"/>
      <w:lang w:val="ru-RU" w:eastAsia="zh-CN" w:bidi="hi-IN"/>
    </w:rPr>
  </w:style>
  <w:style w:type="paragraph" w:styleId="Heading5">
    <w:name w:val="Heading 5"/>
    <w:next w:val="Normal"/>
    <w:uiPriority w:val="9"/>
    <w:qFormat/>
    <w:pPr>
      <w:widowControl/>
      <w:bidi w:val="0"/>
      <w:spacing w:lineRule="auto" w:line="276" w:before="120" w:after="120"/>
      <w:ind w:hanging="0" w:left="0" w:right="0"/>
      <w:jc w:val="both"/>
      <w:outlineLvl w:val="4"/>
    </w:pPr>
    <w:rPr>
      <w:rFonts w:ascii="XO Thames" w:hAnsi="XO Thames" w:eastAsia="Tahoma" w:cs="Noto Sans Devanagari"/>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style>
  <w:style w:type="character" w:styleId="ListParagraph">
    <w:name w:val="List Paragraph"/>
    <w:link w:val="ListParagraph1"/>
    <w:qFormat/>
    <w:rPr/>
  </w:style>
  <w:style w:type="character" w:styleId="Annotationsubject">
    <w:name w:val="annotation subject"/>
    <w:basedOn w:val="Annotationtext"/>
    <w:link w:val="Annotationsubject1"/>
    <w:qFormat/>
    <w:rPr>
      <w:b/>
    </w:rPr>
  </w:style>
  <w:style w:type="character" w:styleId="ConsPlusNormal">
    <w:name w:val="ConsPlusNormal"/>
    <w:link w:val="ConsPlusNormal1"/>
    <w:qFormat/>
    <w:rPr>
      <w:rFonts w:ascii="Times New Roman" w:hAnsi="Times New Roman"/>
    </w:rPr>
  </w:style>
  <w:style w:type="character" w:styleId="Endnote">
    <w:name w:val="Endnote"/>
    <w:link w:val="Endnote1"/>
    <w:qFormat/>
    <w:rPr>
      <w:rFonts w:ascii="XO Thames" w:hAnsi="XO Thames"/>
    </w:rPr>
  </w:style>
  <w:style w:type="character" w:styleId="Heading31">
    <w:name w:val="Heading 31"/>
    <w:qFormat/>
    <w:rPr>
      <w:rFonts w:ascii="Cambria" w:hAnsi="Cambria" w:asciiTheme="majorAscii" w:hAnsiTheme="majorHAnsi"/>
      <w:b/>
      <w:color w:themeColor="accent1" w:val="4F81BD"/>
    </w:rPr>
  </w:style>
  <w:style w:type="character" w:styleId="1">
    <w:name w:val="Основной шрифт абзаца1"/>
    <w:link w:val="111"/>
    <w:qFormat/>
    <w:rPr/>
  </w:style>
  <w:style w:type="character" w:styleId="Style9">
    <w:name w:val="ГК подпункты"/>
    <w:basedOn w:val="Heading31"/>
    <w:link w:val="16"/>
    <w:qFormat/>
    <w:rPr>
      <w:rFonts w:ascii="Times New Roman" w:hAnsi="Times New Roman"/>
      <w:b w:val="false"/>
      <w:color w:themeColor="accent1" w:val="000000"/>
      <w:sz w:val="28"/>
    </w:rPr>
  </w:style>
  <w:style w:type="character" w:styleId="TableSmHeadingbogus">
    <w:name w:val="Table_Sm_Heading_bogus"/>
    <w:link w:val="TableSmHeadingbogus1"/>
    <w:qFormat/>
    <w:rPr>
      <w:rFonts w:ascii="Arial" w:hAnsi="Arial"/>
      <w:b/>
      <w:sz w:val="16"/>
    </w:rPr>
  </w:style>
  <w:style w:type="character" w:styleId="Footer1">
    <w:name w:val="Footer1"/>
    <w:qFormat/>
    <w:rPr/>
  </w:style>
  <w:style w:type="character" w:styleId="Contents3">
    <w:name w:val="Contents 3"/>
    <w:qFormat/>
    <w:rPr>
      <w:rFonts w:ascii="XO Thames" w:hAnsi="XO Thames"/>
      <w:sz w:val="28"/>
    </w:rPr>
  </w:style>
  <w:style w:type="character" w:styleId="11">
    <w:name w:val="Знак сноски1"/>
    <w:link w:val="112"/>
    <w:qFormat/>
    <w:rPr>
      <w:vertAlign w:val="superscript"/>
    </w:rPr>
  </w:style>
  <w:style w:type="character" w:styleId="Style10">
    <w:name w:val="Основной текст Знак"/>
    <w:basedOn w:val="1"/>
    <w:link w:val="17"/>
    <w:qFormat/>
    <w:rPr/>
  </w:style>
  <w:style w:type="character" w:styleId="Header1">
    <w:name w:val="Header1"/>
    <w:qFormat/>
    <w:rPr/>
  </w:style>
  <w:style w:type="character" w:styleId="Textbody">
    <w:name w:val="Text body"/>
    <w:qFormat/>
    <w:rPr>
      <w:rFonts w:ascii="Times New Roman" w:hAnsi="Times New Roman"/>
      <w:sz w:val="24"/>
    </w:rPr>
  </w:style>
  <w:style w:type="character" w:styleId="Heading51">
    <w:name w:val="Heading 51"/>
    <w:qFormat/>
    <w:rPr>
      <w:rFonts w:ascii="XO Thames" w:hAnsi="XO Thames"/>
      <w:b/>
    </w:rPr>
  </w:style>
  <w:style w:type="character" w:styleId="Tablenotused">
    <w:name w:val="Table_not_used"/>
    <w:link w:val="Tablenotused1"/>
    <w:qFormat/>
    <w:rPr>
      <w:rFonts w:ascii="Arial" w:hAnsi="Arial"/>
      <w:sz w:val="20"/>
    </w:rPr>
  </w:style>
  <w:style w:type="character" w:styleId="Heading11">
    <w:name w:val="Heading 11"/>
    <w:qFormat/>
    <w:rPr>
      <w:rFonts w:ascii="Cambria" w:hAnsi="Cambria" w:asciiTheme="majorAscii" w:hAnsiTheme="majorHAnsi"/>
      <w:b/>
      <w:color w:themeColor="accent1" w:themeShade="bf" w:val="376092"/>
      <w:sz w:val="28"/>
    </w:rPr>
  </w:style>
  <w:style w:type="character" w:styleId="DefaultParagraphFont">
    <w:name w:val="Default Paragraph Font"/>
    <w:link w:val="DefaultParagraphFont1"/>
    <w:qFormat/>
    <w:rPr/>
  </w:style>
  <w:style w:type="character" w:styleId="Hyperlink">
    <w:name w:val="Hyperlink"/>
    <w:rPr>
      <w:color w:val="0000FF"/>
      <w:u w:val="single"/>
    </w:rPr>
  </w:style>
  <w:style w:type="character" w:styleId="Footnote">
    <w:name w:val="Footnote"/>
    <w:link w:val="Footnote1"/>
    <w:qFormat/>
    <w:rPr>
      <w:sz w:val="20"/>
    </w:rPr>
  </w:style>
  <w:style w:type="character" w:styleId="Contents1">
    <w:name w:val="Contents 1"/>
    <w:qFormat/>
    <w:rPr>
      <w:rFonts w:ascii="XO Thames" w:hAnsi="XO Thames"/>
      <w:b/>
      <w:sz w:val="28"/>
    </w:rPr>
  </w:style>
  <w:style w:type="character" w:styleId="Standard">
    <w:name w:val="standard"/>
    <w:link w:val="Standard2"/>
    <w:qFormat/>
    <w:rPr>
      <w:rFonts w:ascii="Calibri" w:hAnsi="Calibri"/>
    </w:rPr>
  </w:style>
  <w:style w:type="character" w:styleId="HeaderandFooter">
    <w:name w:val="Header and Footer"/>
    <w:qFormat/>
    <w:rPr>
      <w:rFonts w:ascii="XO Thames" w:hAnsi="XO Thames"/>
      <w:sz w:val="28"/>
    </w:rPr>
  </w:style>
  <w:style w:type="character" w:styleId="Annotationtext">
    <w:name w:val="annotation text"/>
    <w:link w:val="Annotationtext1"/>
    <w:qFormat/>
    <w:rPr>
      <w:sz w:val="20"/>
    </w:rPr>
  </w:style>
  <w:style w:type="character" w:styleId="Contents9">
    <w:name w:val="Contents 9"/>
    <w:qFormat/>
    <w:rPr>
      <w:rFonts w:ascii="XO Thames" w:hAnsi="XO Thames"/>
      <w:sz w:val="28"/>
    </w:rPr>
  </w:style>
  <w:style w:type="character" w:styleId="12">
    <w:name w:val="Знак примечания1"/>
    <w:basedOn w:val="1"/>
    <w:link w:val="113"/>
    <w:qFormat/>
    <w:rPr>
      <w:sz w:val="16"/>
    </w:rPr>
  </w:style>
  <w:style w:type="character" w:styleId="Contents8">
    <w:name w:val="Contents 8"/>
    <w:qFormat/>
    <w:rPr>
      <w:rFonts w:ascii="XO Thames" w:hAnsi="XO Thames"/>
      <w:sz w:val="28"/>
    </w:rPr>
  </w:style>
  <w:style w:type="character" w:styleId="Paragraph">
    <w:name w:val="paragraph"/>
    <w:link w:val="Paragraph1"/>
    <w:qFormat/>
    <w:rPr>
      <w:rFonts w:ascii="Times New Roman" w:hAnsi="Times New Roman"/>
      <w:sz w:val="24"/>
    </w:rPr>
  </w:style>
  <w:style w:type="character" w:styleId="13">
    <w:name w:val="Строгий1"/>
    <w:basedOn w:val="1"/>
    <w:link w:val="114"/>
    <w:qFormat/>
    <w:rPr>
      <w:b/>
    </w:rPr>
  </w:style>
  <w:style w:type="character" w:styleId="Contents5">
    <w:name w:val="Contents 5"/>
    <w:qFormat/>
    <w:rPr>
      <w:rFonts w:ascii="XO Thames" w:hAnsi="XO Thames"/>
      <w:sz w:val="28"/>
    </w:rPr>
  </w:style>
  <w:style w:type="character" w:styleId="Normaltextrun">
    <w:name w:val="normaltextrun"/>
    <w:link w:val="Normaltextrun1"/>
    <w:qFormat/>
    <w:rPr/>
  </w:style>
  <w:style w:type="character" w:styleId="14">
    <w:name w:val="Гиперссылка1"/>
    <w:basedOn w:val="1"/>
    <w:link w:val="115"/>
    <w:qFormat/>
    <w:rPr>
      <w:color w:themeColor="hyperlink" w:val="0000FF"/>
      <w:u w:val="single"/>
    </w:rPr>
  </w:style>
  <w:style w:type="character" w:styleId="Subtitle1">
    <w:name w:val="Subtitle1"/>
    <w:qFormat/>
    <w:rPr>
      <w:rFonts w:ascii="XO Thames" w:hAnsi="XO Thames"/>
      <w:i/>
      <w:sz w:val="24"/>
    </w:rPr>
  </w:style>
  <w:style w:type="character" w:styleId="Title1">
    <w:name w:val="Title1"/>
    <w:qFormat/>
    <w:rPr>
      <w:rFonts w:ascii="Cambria" w:hAnsi="Cambria" w:asciiTheme="majorAscii" w:hAnsiTheme="majorHAnsi"/>
      <w:color w:themeColor="text2" w:themeShade="bf" w:val="17375E"/>
      <w:spacing w:val="5"/>
      <w:sz w:val="52"/>
    </w:rPr>
  </w:style>
  <w:style w:type="character" w:styleId="Heading41">
    <w:name w:val="Heading 41"/>
    <w:qFormat/>
    <w:rPr>
      <w:rFonts w:ascii="XO Thames" w:hAnsi="XO Thames"/>
      <w:b/>
      <w:sz w:val="24"/>
    </w:rPr>
  </w:style>
  <w:style w:type="character" w:styleId="Heading21">
    <w:name w:val="Heading 21"/>
    <w:qFormat/>
    <w:rPr>
      <w:rFonts w:ascii="Times New Roman" w:hAnsi="Times New Roman"/>
      <w:sz w:val="28"/>
    </w:rPr>
  </w:style>
  <w:style w:type="character" w:styleId="BalloonText">
    <w:name w:val="Balloon Text"/>
    <w:link w:val="BalloonText1"/>
    <w:qFormat/>
    <w:rPr>
      <w:rFonts w:ascii="Tahoma" w:hAnsi="Tahoma"/>
      <w:sz w:val="16"/>
    </w:rPr>
  </w:style>
  <w:style w:type="character" w:styleId="15">
    <w:name w:val="Обычный1"/>
    <w:link w:val="116"/>
    <w:qFormat/>
    <w:rPr/>
  </w:style>
  <w:style w:type="character" w:styleId="Standard1">
    <w:name w:val="Standard1"/>
    <w:link w:val="Standard3"/>
    <w:qFormat/>
    <w:rPr>
      <w:rFonts w:ascii="Calibri" w:hAnsi="Calibri"/>
    </w:rPr>
  </w:style>
  <w:style w:type="paragraph" w:styleId="Style11">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widowControl/>
      <w:spacing w:lineRule="auto" w:line="240" w:before="0" w:after="120"/>
      <w:jc w:val="both"/>
    </w:pPr>
    <w:rPr>
      <w:rFonts w:ascii="Times New Roman" w:hAnsi="Times New Roman"/>
      <w:sz w:val="24"/>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2">
    <w:name w:val="Указатель"/>
    <w:basedOn w:val="Normal"/>
    <w:qFormat/>
    <w:pPr>
      <w:suppressLineNumbers/>
    </w:pPr>
    <w:rPr>
      <w:rFonts w:ascii="PT Astra Serif" w:hAnsi="PT Astra Serif" w:cs="Noto Sans Devanagari"/>
    </w:rPr>
  </w:style>
  <w:style w:type="paragraph" w:styleId="TOC2">
    <w:name w:val="TOC 2"/>
    <w:next w:val="Normal"/>
    <w:uiPriority w:val="39"/>
    <w:pPr>
      <w:widowControl/>
      <w:bidi w:val="0"/>
      <w:spacing w:lineRule="auto" w:line="276" w:before="0" w:after="200"/>
      <w:ind w:hanging="0" w:left="200" w:right="0"/>
      <w:jc w:val="left"/>
    </w:pPr>
    <w:rPr>
      <w:rFonts w:ascii="XO Thames" w:hAnsi="XO Thames" w:eastAsia="Tahoma" w:cs="Noto Sans Devanagari"/>
      <w:color w:val="000000"/>
      <w:spacing w:val="0"/>
      <w:kern w:val="0"/>
      <w:sz w:val="28"/>
      <w:szCs w:val="20"/>
      <w:lang w:val="ru-RU" w:eastAsia="zh-CN" w:bidi="hi-IN"/>
    </w:rPr>
  </w:style>
  <w:style w:type="paragraph" w:styleId="TOC4">
    <w:name w:val="TOC 4"/>
    <w:next w:val="Normal"/>
    <w:uiPriority w:val="39"/>
    <w:pPr>
      <w:widowControl/>
      <w:bidi w:val="0"/>
      <w:spacing w:lineRule="auto" w:line="276" w:before="0" w:after="200"/>
      <w:ind w:hanging="0" w:left="600" w:right="0"/>
      <w:jc w:val="left"/>
    </w:pPr>
    <w:rPr>
      <w:rFonts w:ascii="XO Thames" w:hAnsi="XO Thames" w:eastAsia="Tahoma" w:cs="Noto Sans Devanagari"/>
      <w:color w:val="000000"/>
      <w:spacing w:val="0"/>
      <w:kern w:val="0"/>
      <w:sz w:val="28"/>
      <w:szCs w:val="20"/>
      <w:lang w:val="ru-RU" w:eastAsia="zh-CN" w:bidi="hi-IN"/>
    </w:rPr>
  </w:style>
  <w:style w:type="paragraph" w:styleId="TOC6">
    <w:name w:val="TOC 6"/>
    <w:next w:val="Normal"/>
    <w:uiPriority w:val="39"/>
    <w:pPr>
      <w:widowControl/>
      <w:bidi w:val="0"/>
      <w:spacing w:lineRule="auto" w:line="276" w:before="0" w:after="200"/>
      <w:ind w:hanging="0" w:left="1000" w:right="0"/>
      <w:jc w:val="left"/>
    </w:pPr>
    <w:rPr>
      <w:rFonts w:ascii="XO Thames" w:hAnsi="XO Thames" w:eastAsia="Tahoma" w:cs="Noto Sans Devanagari"/>
      <w:color w:val="000000"/>
      <w:spacing w:val="0"/>
      <w:kern w:val="0"/>
      <w:sz w:val="28"/>
      <w:szCs w:val="20"/>
      <w:lang w:val="ru-RU" w:eastAsia="zh-CN" w:bidi="hi-IN"/>
    </w:rPr>
  </w:style>
  <w:style w:type="paragraph" w:styleId="TOC7">
    <w:name w:val="TOC 7"/>
    <w:basedOn w:val="Normal"/>
    <w:next w:val="Normal"/>
    <w:uiPriority w:val="39"/>
    <w:pPr>
      <w:widowControl/>
      <w:spacing w:before="0" w:after="100"/>
      <w:ind w:left="1320"/>
    </w:pPr>
    <w:rPr/>
  </w:style>
  <w:style w:type="paragraph" w:styleId="ListParagraph1">
    <w:name w:val="List Paragraph1"/>
    <w:basedOn w:val="Normal"/>
    <w:link w:val="ListParagraph"/>
    <w:qFormat/>
    <w:pPr>
      <w:widowControl/>
      <w:spacing w:before="0" w:after="200"/>
      <w:ind w:left="720"/>
      <w:contextualSpacing/>
    </w:pPr>
    <w:rPr/>
  </w:style>
  <w:style w:type="paragraph" w:styleId="Annotationsubject1">
    <w:name w:val="annotation subject1"/>
    <w:basedOn w:val="Annotationtext1"/>
    <w:next w:val="Annotationtext1"/>
    <w:link w:val="Annotationsubject"/>
    <w:qFormat/>
    <w:pPr/>
    <w:rPr>
      <w:b/>
    </w:rPr>
  </w:style>
  <w:style w:type="paragraph" w:styleId="ConsPlusNormal1">
    <w:name w:val="ConsPlusNormal1"/>
    <w:link w:val="ConsPlusNormal"/>
    <w:qFormat/>
    <w:pPr>
      <w:widowControl/>
      <w:bidi w:val="0"/>
      <w:spacing w:lineRule="auto" w:line="240" w:before="0" w:after="0"/>
      <w:ind w:hanging="0" w:left="0" w:right="0"/>
      <w:jc w:val="left"/>
    </w:pPr>
    <w:rPr>
      <w:rFonts w:ascii="Times New Roman" w:hAnsi="Times New Roman" w:eastAsia="Tahoma" w:cs="Noto Sans Devanagari"/>
      <w:color w:val="000000"/>
      <w:spacing w:val="0"/>
      <w:kern w:val="0"/>
      <w:sz w:val="22"/>
      <w:szCs w:val="20"/>
      <w:lang w:val="ru-RU" w:eastAsia="zh-CN" w:bidi="hi-IN"/>
    </w:rPr>
  </w:style>
  <w:style w:type="paragraph" w:styleId="Endnote1">
    <w:name w:val="Endnote1"/>
    <w:link w:val="Endnote"/>
    <w:qFormat/>
    <w:pPr>
      <w:widowControl/>
      <w:bidi w:val="0"/>
      <w:spacing w:lineRule="auto" w:line="276" w:before="0" w:after="200"/>
      <w:ind w:firstLine="851" w:left="0" w:right="0"/>
      <w:jc w:val="both"/>
    </w:pPr>
    <w:rPr>
      <w:rFonts w:ascii="XO Thames" w:hAnsi="XO Thames" w:eastAsia="Tahoma" w:cs="Noto Sans Devanagari"/>
      <w:color w:val="000000"/>
      <w:spacing w:val="0"/>
      <w:kern w:val="0"/>
      <w:sz w:val="22"/>
      <w:szCs w:val="20"/>
      <w:lang w:val="ru-RU" w:eastAsia="zh-CN" w:bidi="hi-IN"/>
    </w:rPr>
  </w:style>
  <w:style w:type="paragraph" w:styleId="111">
    <w:name w:val="Основной шрифт абзаца11"/>
    <w:link w:val="1"/>
    <w:qFormat/>
    <w:pPr>
      <w:widowControl/>
      <w:bidi w:val="0"/>
      <w:spacing w:lineRule="auto" w:line="276" w:before="0" w:after="200"/>
      <w:ind w:hanging="0" w:left="0" w:right="0"/>
      <w:jc w:val="left"/>
    </w:pPr>
    <w:rPr>
      <w:rFonts w:ascii="Calibri" w:hAnsi="Calibri" w:eastAsia="Tahoma" w:cs="Noto Sans Devanagari" w:asciiTheme="minorAscii" w:hAnsiTheme="minorHAnsi"/>
      <w:color w:val="000000"/>
      <w:spacing w:val="0"/>
      <w:kern w:val="0"/>
      <w:sz w:val="22"/>
      <w:szCs w:val="20"/>
      <w:lang w:val="ru-RU" w:eastAsia="zh-CN" w:bidi="hi-IN"/>
    </w:rPr>
  </w:style>
  <w:style w:type="paragraph" w:styleId="16">
    <w:name w:val="ГК подпункты1"/>
    <w:basedOn w:val="Heading3"/>
    <w:link w:val="Style9"/>
    <w:qFormat/>
    <w:pPr>
      <w:keepNext w:val="false"/>
      <w:keepLines w:val="false"/>
      <w:widowControl/>
      <w:tabs>
        <w:tab w:val="clear" w:pos="708"/>
        <w:tab w:val="left" w:pos="1560" w:leader="none"/>
      </w:tabs>
      <w:spacing w:lineRule="auto" w:line="240" w:before="120" w:after="0"/>
      <w:ind w:firstLine="720" w:left="-578"/>
      <w:jc w:val="both"/>
    </w:pPr>
    <w:rPr>
      <w:rFonts w:ascii="Times New Roman" w:hAnsi="Times New Roman"/>
      <w:b w:val="false"/>
      <w:color w:themeColor="accent1" w:val="000000"/>
      <w:sz w:val="28"/>
    </w:rPr>
  </w:style>
  <w:style w:type="paragraph" w:styleId="TableSmHeadingbogus1">
    <w:name w:val="Table_Sm_Heading_bogus1"/>
    <w:basedOn w:val="Normal"/>
    <w:link w:val="TableSmHeadingbogus"/>
    <w:qFormat/>
    <w:pPr>
      <w:keepNext w:val="true"/>
      <w:keepLines/>
      <w:widowControl/>
      <w:numPr>
        <w:ilvl w:val="0"/>
        <w:numId w:val="4"/>
      </w:numPr>
      <w:spacing w:lineRule="auto" w:line="240" w:before="60" w:after="40"/>
      <w:jc w:val="center"/>
    </w:pPr>
    <w:rPr>
      <w:rFonts w:ascii="Arial" w:hAnsi="Arial"/>
      <w:b/>
      <w:sz w:val="16"/>
    </w:rPr>
  </w:style>
  <w:style w:type="paragraph" w:styleId="Style13">
    <w:name w:val="Колонтитул"/>
    <w:qFormat/>
    <w:pPr>
      <w:widowControl/>
      <w:bidi w:val="0"/>
      <w:spacing w:lineRule="auto" w:line="240" w:before="0" w:after="200"/>
      <w:ind w:hanging="0" w:left="0" w:right="0"/>
      <w:jc w:val="both"/>
    </w:pPr>
    <w:rPr>
      <w:rFonts w:ascii="XO Thames" w:hAnsi="XO Thames" w:eastAsia="Tahoma" w:cs="Noto Sans Devanagari"/>
      <w:color w:val="000000"/>
      <w:spacing w:val="0"/>
      <w:kern w:val="0"/>
      <w:sz w:val="28"/>
      <w:szCs w:val="20"/>
      <w:lang w:val="ru-RU" w:eastAsia="zh-CN" w:bidi="hi-IN"/>
    </w:rPr>
  </w:style>
  <w:style w:type="paragraph" w:styleId="Footer">
    <w:name w:val="Footer"/>
    <w:basedOn w:val="Normal"/>
    <w:pPr>
      <w:widowControl/>
      <w:tabs>
        <w:tab w:val="clear" w:pos="708"/>
        <w:tab w:val="center" w:pos="4677" w:leader="none"/>
        <w:tab w:val="right" w:pos="9355" w:leader="none"/>
      </w:tabs>
      <w:spacing w:lineRule="auto" w:line="240" w:before="0" w:after="0"/>
    </w:pPr>
    <w:rPr/>
  </w:style>
  <w:style w:type="paragraph" w:styleId="TOC3">
    <w:name w:val="TOC 3"/>
    <w:next w:val="Normal"/>
    <w:uiPriority w:val="39"/>
    <w:pPr>
      <w:widowControl/>
      <w:bidi w:val="0"/>
      <w:spacing w:lineRule="auto" w:line="276" w:before="0" w:after="200"/>
      <w:ind w:hanging="0" w:left="400" w:right="0"/>
      <w:jc w:val="left"/>
    </w:pPr>
    <w:rPr>
      <w:rFonts w:ascii="XO Thames" w:hAnsi="XO Thames" w:eastAsia="Tahoma" w:cs="Noto Sans Devanagari"/>
      <w:color w:val="000000"/>
      <w:spacing w:val="0"/>
      <w:kern w:val="0"/>
      <w:sz w:val="28"/>
      <w:szCs w:val="20"/>
      <w:lang w:val="ru-RU" w:eastAsia="zh-CN" w:bidi="hi-IN"/>
    </w:rPr>
  </w:style>
  <w:style w:type="paragraph" w:styleId="112">
    <w:name w:val="Знак сноски11"/>
    <w:link w:val="11"/>
    <w:qFormat/>
    <w:pPr>
      <w:widowControl/>
      <w:bidi w:val="0"/>
      <w:spacing w:lineRule="auto" w:line="276" w:before="0" w:after="200"/>
      <w:ind w:hanging="0" w:left="0" w:right="0"/>
      <w:jc w:val="left"/>
    </w:pPr>
    <w:rPr>
      <w:rFonts w:ascii="Calibri" w:hAnsi="Calibri" w:eastAsia="Tahoma" w:cs="Noto Sans Devanagari" w:asciiTheme="minorAscii" w:hAnsiTheme="minorHAnsi"/>
      <w:color w:val="000000"/>
      <w:spacing w:val="0"/>
      <w:kern w:val="0"/>
      <w:sz w:val="22"/>
      <w:szCs w:val="20"/>
      <w:vertAlign w:val="superscript"/>
      <w:lang w:val="ru-RU" w:eastAsia="zh-CN" w:bidi="hi-IN"/>
    </w:rPr>
  </w:style>
  <w:style w:type="paragraph" w:styleId="17">
    <w:name w:val="Основной текст Знак1"/>
    <w:basedOn w:val="111"/>
    <w:link w:val="Style10"/>
    <w:qFormat/>
    <w:pPr/>
    <w:rPr/>
  </w:style>
  <w:style w:type="paragraph" w:styleId="Header">
    <w:name w:val="Header"/>
    <w:basedOn w:val="Normal"/>
    <w:pPr>
      <w:widowControl/>
      <w:tabs>
        <w:tab w:val="clear" w:pos="708"/>
        <w:tab w:val="center" w:pos="4677" w:leader="none"/>
        <w:tab w:val="right" w:pos="9355" w:leader="none"/>
      </w:tabs>
      <w:spacing w:lineRule="auto" w:line="240" w:before="0" w:after="0"/>
    </w:pPr>
    <w:rPr/>
  </w:style>
  <w:style w:type="paragraph" w:styleId="Tablenotused1">
    <w:name w:val="Table_not_used1"/>
    <w:basedOn w:val="Normal"/>
    <w:link w:val="Tablenotused"/>
    <w:qFormat/>
    <w:pPr>
      <w:widowControl/>
      <w:numPr>
        <w:ilvl w:val="1"/>
        <w:numId w:val="4"/>
      </w:numPr>
      <w:spacing w:lineRule="auto" w:line="240" w:before="40" w:after="40"/>
      <w:jc w:val="right"/>
    </w:pPr>
    <w:rPr>
      <w:rFonts w:ascii="Arial" w:hAnsi="Arial"/>
      <w:sz w:val="20"/>
    </w:rPr>
  </w:style>
  <w:style w:type="paragraph" w:styleId="DefaultParagraphFont1">
    <w:name w:val="Default Paragraph Font1"/>
    <w:link w:val="DefaultParagraphFont"/>
    <w:qFormat/>
    <w:pPr>
      <w:widowControl/>
      <w:bidi w:val="0"/>
      <w:spacing w:lineRule="auto" w:line="276" w:before="0" w:after="200"/>
      <w:ind w:hanging="0" w:left="0" w:right="0"/>
      <w:jc w:val="left"/>
    </w:pPr>
    <w:rPr>
      <w:rFonts w:ascii="Calibri" w:hAnsi="Calibri" w:eastAsia="Tahoma" w:cs="Noto Sans Devanagari" w:asciiTheme="minorAscii" w:hAnsiTheme="minorHAnsi"/>
      <w:color w:val="000000"/>
      <w:spacing w:val="0"/>
      <w:kern w:val="0"/>
      <w:sz w:val="22"/>
      <w:szCs w:val="20"/>
      <w:lang w:val="ru-RU" w:eastAsia="zh-CN" w:bidi="hi-IN"/>
    </w:rPr>
  </w:style>
  <w:style w:type="paragraph" w:styleId="Internetlink">
    <w:name w:val="Internet link"/>
    <w:qFormat/>
    <w:pPr>
      <w:widowControl/>
      <w:bidi w:val="0"/>
      <w:spacing w:lineRule="auto" w:line="276" w:before="0" w:after="200"/>
      <w:ind w:hanging="0" w:left="0" w:right="0"/>
      <w:jc w:val="left"/>
    </w:pPr>
    <w:rPr>
      <w:rFonts w:ascii="Calibri" w:hAnsi="Calibri" w:eastAsia="Tahoma" w:cs="Noto Sans Devanagari"/>
      <w:color w:val="0000FF"/>
      <w:spacing w:val="0"/>
      <w:kern w:val="0"/>
      <w:sz w:val="22"/>
      <w:szCs w:val="20"/>
      <w:u w:val="single"/>
      <w:lang w:val="ru-RU" w:eastAsia="zh-CN" w:bidi="hi-IN"/>
    </w:rPr>
  </w:style>
  <w:style w:type="paragraph" w:styleId="Footnote1">
    <w:name w:val="Footnote1"/>
    <w:basedOn w:val="Normal"/>
    <w:link w:val="Footnote"/>
    <w:qFormat/>
    <w:pPr>
      <w:widowControl/>
      <w:spacing w:lineRule="auto" w:line="240" w:before="0" w:after="0"/>
    </w:pPr>
    <w:rPr>
      <w:sz w:val="20"/>
    </w:rPr>
  </w:style>
  <w:style w:type="paragraph" w:styleId="TOC1">
    <w:name w:val="TOC 1"/>
    <w:next w:val="Normal"/>
    <w:uiPriority w:val="39"/>
    <w:pPr>
      <w:widowControl/>
      <w:bidi w:val="0"/>
      <w:spacing w:lineRule="auto" w:line="276" w:before="0" w:after="200"/>
      <w:ind w:hanging="0" w:left="0" w:right="0"/>
      <w:jc w:val="left"/>
    </w:pPr>
    <w:rPr>
      <w:rFonts w:ascii="XO Thames" w:hAnsi="XO Thames" w:eastAsia="Tahoma" w:cs="Noto Sans Devanagari"/>
      <w:b/>
      <w:color w:val="000000"/>
      <w:spacing w:val="0"/>
      <w:kern w:val="0"/>
      <w:sz w:val="28"/>
      <w:szCs w:val="20"/>
      <w:lang w:val="ru-RU" w:eastAsia="zh-CN" w:bidi="hi-IN"/>
    </w:rPr>
  </w:style>
  <w:style w:type="paragraph" w:styleId="Standard2">
    <w:name w:val="standard2"/>
    <w:basedOn w:val="Normal"/>
    <w:link w:val="Standard"/>
    <w:qFormat/>
    <w:pPr/>
    <w:rPr>
      <w:rFonts w:ascii="Calibri" w:hAnsi="Calibri"/>
    </w:rPr>
  </w:style>
  <w:style w:type="paragraph" w:styleId="Annotationtext1">
    <w:name w:val="annotation text1"/>
    <w:basedOn w:val="Normal"/>
    <w:link w:val="Annotationtext"/>
    <w:qFormat/>
    <w:pPr>
      <w:widowControl/>
      <w:spacing w:lineRule="auto" w:line="240"/>
    </w:pPr>
    <w:rPr>
      <w:sz w:val="20"/>
    </w:rPr>
  </w:style>
  <w:style w:type="paragraph" w:styleId="TOC9">
    <w:name w:val="TOC 9"/>
    <w:next w:val="Normal"/>
    <w:uiPriority w:val="39"/>
    <w:pPr>
      <w:widowControl/>
      <w:bidi w:val="0"/>
      <w:spacing w:lineRule="auto" w:line="276" w:before="0" w:after="200"/>
      <w:ind w:hanging="0" w:left="1600" w:right="0"/>
      <w:jc w:val="left"/>
    </w:pPr>
    <w:rPr>
      <w:rFonts w:ascii="XO Thames" w:hAnsi="XO Thames" w:eastAsia="Tahoma" w:cs="Noto Sans Devanagari"/>
      <w:color w:val="000000"/>
      <w:spacing w:val="0"/>
      <w:kern w:val="0"/>
      <w:sz w:val="28"/>
      <w:szCs w:val="20"/>
      <w:lang w:val="ru-RU" w:eastAsia="zh-CN" w:bidi="hi-IN"/>
    </w:rPr>
  </w:style>
  <w:style w:type="paragraph" w:styleId="113">
    <w:name w:val="Знак примечания11"/>
    <w:basedOn w:val="111"/>
    <w:link w:val="12"/>
    <w:qFormat/>
    <w:pPr/>
    <w:rPr>
      <w:sz w:val="16"/>
    </w:rPr>
  </w:style>
  <w:style w:type="paragraph" w:styleId="TOC8">
    <w:name w:val="TOC 8"/>
    <w:next w:val="Normal"/>
    <w:uiPriority w:val="39"/>
    <w:pPr>
      <w:widowControl/>
      <w:bidi w:val="0"/>
      <w:spacing w:lineRule="auto" w:line="276" w:before="0" w:after="200"/>
      <w:ind w:hanging="0" w:left="1400" w:right="0"/>
      <w:jc w:val="left"/>
    </w:pPr>
    <w:rPr>
      <w:rFonts w:ascii="XO Thames" w:hAnsi="XO Thames" w:eastAsia="Tahoma" w:cs="Noto Sans Devanagari"/>
      <w:color w:val="000000"/>
      <w:spacing w:val="0"/>
      <w:kern w:val="0"/>
      <w:sz w:val="28"/>
      <w:szCs w:val="20"/>
      <w:lang w:val="ru-RU" w:eastAsia="zh-CN" w:bidi="hi-IN"/>
    </w:rPr>
  </w:style>
  <w:style w:type="paragraph" w:styleId="Paragraph1">
    <w:name w:val="paragraph1"/>
    <w:basedOn w:val="Normal"/>
    <w:link w:val="Paragraph"/>
    <w:qFormat/>
    <w:pPr>
      <w:widowControl/>
      <w:spacing w:lineRule="auto" w:line="240" w:beforeAutospacing="1" w:afterAutospacing="1"/>
    </w:pPr>
    <w:rPr>
      <w:rFonts w:ascii="Times New Roman" w:hAnsi="Times New Roman"/>
      <w:sz w:val="24"/>
    </w:rPr>
  </w:style>
  <w:style w:type="paragraph" w:styleId="114">
    <w:name w:val="Строгий11"/>
    <w:basedOn w:val="111"/>
    <w:link w:val="13"/>
    <w:qFormat/>
    <w:pPr/>
    <w:rPr>
      <w:b/>
    </w:rPr>
  </w:style>
  <w:style w:type="paragraph" w:styleId="TOC5">
    <w:name w:val="TOC 5"/>
    <w:next w:val="Normal"/>
    <w:uiPriority w:val="39"/>
    <w:pPr>
      <w:widowControl/>
      <w:bidi w:val="0"/>
      <w:spacing w:lineRule="auto" w:line="276" w:before="0" w:after="200"/>
      <w:ind w:hanging="0" w:left="800" w:right="0"/>
      <w:jc w:val="left"/>
    </w:pPr>
    <w:rPr>
      <w:rFonts w:ascii="XO Thames" w:hAnsi="XO Thames" w:eastAsia="Tahoma" w:cs="Noto Sans Devanagari"/>
      <w:color w:val="000000"/>
      <w:spacing w:val="0"/>
      <w:kern w:val="0"/>
      <w:sz w:val="28"/>
      <w:szCs w:val="20"/>
      <w:lang w:val="ru-RU" w:eastAsia="zh-CN" w:bidi="hi-IN"/>
    </w:rPr>
  </w:style>
  <w:style w:type="paragraph" w:styleId="Normaltextrun1">
    <w:name w:val="normaltextrun1"/>
    <w:link w:val="Normaltextrun"/>
    <w:qFormat/>
    <w:pPr>
      <w:widowControl/>
      <w:bidi w:val="0"/>
      <w:spacing w:lineRule="auto" w:line="276" w:before="0" w:after="200"/>
      <w:ind w:hanging="0" w:left="0" w:right="0"/>
      <w:jc w:val="left"/>
    </w:pPr>
    <w:rPr>
      <w:rFonts w:ascii="Calibri" w:hAnsi="Calibri" w:eastAsia="Tahoma" w:cs="Noto Sans Devanagari" w:asciiTheme="minorAscii" w:hAnsiTheme="minorHAnsi"/>
      <w:color w:val="000000"/>
      <w:spacing w:val="0"/>
      <w:kern w:val="0"/>
      <w:sz w:val="22"/>
      <w:szCs w:val="20"/>
      <w:lang w:val="ru-RU" w:eastAsia="zh-CN" w:bidi="hi-IN"/>
    </w:rPr>
  </w:style>
  <w:style w:type="paragraph" w:styleId="115">
    <w:name w:val="Гиперссылка11"/>
    <w:basedOn w:val="111"/>
    <w:link w:val="14"/>
    <w:qFormat/>
    <w:pPr/>
    <w:rPr>
      <w:color w:themeColor="hyperlink" w:val="0000FF"/>
      <w:u w:val="single"/>
    </w:rPr>
  </w:style>
  <w:style w:type="paragraph" w:styleId="Subtitle">
    <w:name w:val="Subtitle"/>
    <w:next w:val="Normal"/>
    <w:uiPriority w:val="11"/>
    <w:qFormat/>
    <w:pPr>
      <w:widowControl/>
      <w:bidi w:val="0"/>
      <w:spacing w:lineRule="auto" w:line="276" w:before="0" w:after="200"/>
      <w:ind w:hanging="0" w:left="0" w:right="0"/>
      <w:jc w:val="both"/>
    </w:pPr>
    <w:rPr>
      <w:rFonts w:ascii="XO Thames" w:hAnsi="XO Thames" w:eastAsia="Tahoma" w:cs="Noto Sans Devanagari"/>
      <w:i/>
      <w:color w:val="000000"/>
      <w:spacing w:val="0"/>
      <w:kern w:val="0"/>
      <w:sz w:val="24"/>
      <w:szCs w:val="20"/>
      <w:lang w:val="ru-RU" w:eastAsia="zh-CN" w:bidi="hi-IN"/>
    </w:rPr>
  </w:style>
  <w:style w:type="paragraph" w:styleId="Title">
    <w:name w:val="Title"/>
    <w:basedOn w:val="Normal"/>
    <w:next w:val="Normal"/>
    <w:uiPriority w:val="10"/>
    <w:qFormat/>
    <w:pPr>
      <w:widowControl/>
      <w:pBdr>
        <w:bottom w:val="single" w:sz="8" w:space="4" w:color="000000" w:themeColor="accent1"/>
      </w:pBdr>
      <w:spacing w:lineRule="auto" w:line="240" w:before="0" w:after="300"/>
      <w:contextualSpacing/>
    </w:pPr>
    <w:rPr>
      <w:rFonts w:ascii="Cambria" w:hAnsi="Cambria" w:asciiTheme="majorAscii" w:hAnsiTheme="majorHAnsi"/>
      <w:color w:themeColor="text2" w:themeShade="bf" w:val="17375E"/>
      <w:spacing w:val="5"/>
      <w:sz w:val="52"/>
    </w:rPr>
  </w:style>
  <w:style w:type="paragraph" w:styleId="BalloonText1">
    <w:name w:val="Balloon Text1"/>
    <w:basedOn w:val="Normal"/>
    <w:link w:val="BalloonText"/>
    <w:qFormat/>
    <w:pPr>
      <w:widowControl/>
      <w:spacing w:lineRule="auto" w:line="240" w:before="0" w:after="0"/>
    </w:pPr>
    <w:rPr>
      <w:rFonts w:ascii="Tahoma" w:hAnsi="Tahoma"/>
      <w:sz w:val="16"/>
    </w:rPr>
  </w:style>
  <w:style w:type="paragraph" w:styleId="116">
    <w:name w:val="Обычный11"/>
    <w:link w:val="15"/>
    <w:qFormat/>
    <w:pPr>
      <w:widowControl/>
      <w:bidi w:val="0"/>
      <w:spacing w:lineRule="auto" w:line="276" w:before="0" w:after="200"/>
      <w:ind w:hanging="0" w:left="0" w:right="0"/>
      <w:jc w:val="left"/>
    </w:pPr>
    <w:rPr>
      <w:rFonts w:ascii="Calibri" w:hAnsi="Calibri" w:eastAsia="Tahoma" w:cs="Noto Sans Devanagari" w:asciiTheme="minorAscii" w:hAnsiTheme="minorHAnsi"/>
      <w:color w:val="000000"/>
      <w:spacing w:val="0"/>
      <w:kern w:val="0"/>
      <w:sz w:val="22"/>
      <w:szCs w:val="20"/>
      <w:lang w:val="ru-RU" w:eastAsia="zh-CN" w:bidi="hi-IN"/>
    </w:rPr>
  </w:style>
  <w:style w:type="paragraph" w:styleId="Standard3">
    <w:name w:val="Standard3"/>
    <w:link w:val="Standard1"/>
    <w:qFormat/>
    <w:pPr>
      <w:widowControl/>
      <w:bidi w:val="0"/>
      <w:spacing w:lineRule="auto" w:line="276" w:before="0" w:after="200"/>
      <w:ind w:hanging="0" w:left="0" w:right="0"/>
      <w:jc w:val="left"/>
    </w:pPr>
    <w:rPr>
      <w:rFonts w:ascii="Calibri" w:hAnsi="Calibri" w:eastAsia="Tahoma" w:cs="Noto Sans Devanagari" w:asciiTheme="minorAscii" w:hAnsiTheme="minorHAnsi"/>
      <w:color w:val="000000"/>
      <w:spacing w:val="0"/>
      <w:kern w:val="0"/>
      <w:sz w:val="22"/>
      <w:szCs w:val="20"/>
      <w:lang w:val="ru-RU" w:eastAsia="zh-CN" w:bidi="hi-IN"/>
    </w:rPr>
  </w:style>
  <w:style w:type="table" w:default="1" w:styleId="Style_7">
    <w:name w:val="Normal Table"/>
    <w:tblPr>
      <w:tblCellMar>
        <w:top w:w="0" w:type="dxa"/>
        <w:left w:w="108" w:type="dxa"/>
        <w:bottom w:w="0" w:type="dxa"/>
        <w:right w:w="108" w:type="dxa"/>
      </w:tblCellMar>
    </w:tblPr>
  </w:style>
  <w:style w:type="table" w:styleId="Style_47">
    <w:name w:val="Table Grid"/>
    <w:basedOn w:val="Style_7"/>
    <w:pPr>
      <w:spacing w:after="0" w:line="240" w:lineRule="auto"/>
    </w:pPr>
    <w:tblPr>
      <w:tblBorders>
        <w:top w:val="single" w:color="000000" w:sz="4"/>
        <w:left w:val="single" w:color="000000" w:sz="4"/>
        <w:bottom w:val="single" w:color="000000" w:sz="4"/>
        <w:right w:val="single" w:color="000000" w:sz="4"/>
        <w:insideH w:val="single" w:color="000000" w:sz="4"/>
        <w:insideV w:val="single" w:color="000000" w:sz="4"/>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466154/c360930e35e7953c74744ed45738094d9503d732/" TargetMode="External"/><Relationship Id="rId3" Type="http://schemas.openxmlformats.org/officeDocument/2006/relationships/hyperlink" Target="https://www.consultant.ru/document/cons_doc_LAW_466154/c360930e35e7953c74744ed45738094d9503d732/" TargetMode="External"/><Relationship Id="rId4" Type="http://schemas.openxmlformats.org/officeDocument/2006/relationships/hyperlink" Target="https://www.consultant.ru/document/cons_doc_LAW_466154/c360930e35e7953c74744ed45738094d9503d732/" TargetMode="External"/><Relationship Id="rId5" Type="http://schemas.openxmlformats.org/officeDocument/2006/relationships/hyperlink" Target="mailto:doks@adm-nao.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LibreOffice/7.6.7.2$Linux_X86_64 LibreOffice_project/60$Build-2</Application>
  <AppVersion>15.0000</AppVersion>
  <Pages>10</Pages>
  <Words>4262</Words>
  <Characters>30436</Characters>
  <CharactersWithSpaces>34617</CharactersWithSpaces>
  <Paragraphs>179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2026-01-30T11:09:07Z</dcterms:created>
  <dc:creator/>
  <dc:description/>
  <dc:language>ru-RU</dc:language>
  <cp:lastModifiedBy/>
  <dcterms:modified xsi:type="dcterms:W3CDTF">2026-01-30T11:35:50Z</dcterms:modified>
  <cp:revision>0</cp:revision>
  <dc:subject/>
  <dc:title/>
</cp:coreProperties>
</file>